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9123"/>
        <w:gridCol w:w="1620"/>
      </w:tblGrid>
      <w:tr w:rsidR="00CD6B48" w:rsidRPr="006609D8" w:rsidTr="00C05684">
        <w:tc>
          <w:tcPr>
            <w:tcW w:w="11160" w:type="dxa"/>
            <w:gridSpan w:val="3"/>
            <w:shd w:val="clear" w:color="auto" w:fill="B6DDE8"/>
          </w:tcPr>
          <w:p w:rsidR="00CD6B48" w:rsidRDefault="00411CCC" w:rsidP="00411CCC">
            <w:pPr>
              <w:pStyle w:val="Heading1"/>
              <w:spacing w:before="120" w:after="120"/>
              <w:rPr>
                <w:rFonts w:cs="Arial"/>
                <w:b w:val="0"/>
                <w:bCs/>
                <w:caps/>
                <w:szCs w:val="24"/>
              </w:rPr>
            </w:pPr>
            <w:r>
              <w:rPr>
                <w:rFonts w:cs="Arial"/>
                <w:b w:val="0"/>
                <w:bCs/>
                <w:caps/>
                <w:szCs w:val="24"/>
              </w:rPr>
              <w:t xml:space="preserve">Data Coordinating Center (DCC) </w:t>
            </w:r>
            <w:r w:rsidR="00CD6B48" w:rsidRPr="006609D8">
              <w:rPr>
                <w:rFonts w:cs="Arial"/>
                <w:b w:val="0"/>
                <w:bCs/>
                <w:caps/>
                <w:szCs w:val="24"/>
              </w:rPr>
              <w:t>Checklist</w:t>
            </w:r>
          </w:p>
          <w:p w:rsidR="00411CCC" w:rsidRPr="006C594A" w:rsidRDefault="006C594A" w:rsidP="00411CCC">
            <w:r w:rsidRPr="006C594A">
              <w:rPr>
                <w:i/>
              </w:rPr>
              <w:t xml:space="preserve">** </w:t>
            </w:r>
            <w:r w:rsidR="00411CCC" w:rsidRPr="00411CCC">
              <w:rPr>
                <w:i/>
              </w:rPr>
              <w:t>This checklist can assist NHLBI staff and others when writing review criteria for Funding Opportunity Announcements for DCCs, when evalua</w:t>
            </w:r>
            <w:r w:rsidR="00411CCC">
              <w:rPr>
                <w:i/>
              </w:rPr>
              <w:t xml:space="preserve">ting potential DCCs during pre- </w:t>
            </w:r>
            <w:r w:rsidR="00411CCC" w:rsidRPr="00411CCC">
              <w:rPr>
                <w:i/>
              </w:rPr>
              <w:t>or post-award site visits and as a tool to begin discussions among all stakeholders when launching a large clinical trial program.</w:t>
            </w:r>
            <w:r w:rsidR="00411CCC">
              <w:t xml:space="preserve"> </w:t>
            </w:r>
          </w:p>
        </w:tc>
      </w:tr>
      <w:tr w:rsidR="00C87924" w:rsidRPr="006609D8" w:rsidTr="008F1DD0">
        <w:tc>
          <w:tcPr>
            <w:tcW w:w="9540" w:type="dxa"/>
            <w:gridSpan w:val="2"/>
            <w:shd w:val="clear" w:color="auto" w:fill="E8EDF0"/>
          </w:tcPr>
          <w:p w:rsidR="00C87924" w:rsidRPr="00AD5B65" w:rsidRDefault="00411CCC" w:rsidP="00AD5B65">
            <w:pPr>
              <w:pStyle w:val="Heading2"/>
              <w:jc w:val="center"/>
              <w:rPr>
                <w:rFonts w:ascii="Arial" w:hAnsi="Arial" w:cs="Arial"/>
                <w:color w:val="1F497D" w:themeColor="text2"/>
                <w:sz w:val="22"/>
                <w:szCs w:val="22"/>
              </w:rPr>
            </w:pPr>
            <w:r>
              <w:rPr>
                <w:rFonts w:ascii="Arial" w:hAnsi="Arial" w:cs="Arial"/>
                <w:color w:val="1F497D" w:themeColor="text2"/>
                <w:sz w:val="22"/>
                <w:szCs w:val="22"/>
              </w:rPr>
              <w:t>CLINICAL STUDY/TRIAL OPERATIONS</w:t>
            </w:r>
          </w:p>
        </w:tc>
        <w:tc>
          <w:tcPr>
            <w:tcW w:w="1620" w:type="dxa"/>
            <w:shd w:val="clear" w:color="auto" w:fill="E8EDF0"/>
            <w:vAlign w:val="center"/>
          </w:tcPr>
          <w:p w:rsidR="00C87924" w:rsidRPr="006609D8" w:rsidRDefault="00C87924" w:rsidP="008F1DD0">
            <w:pPr>
              <w:pStyle w:val="ASGTableSubHead"/>
              <w:widowControl w:val="0"/>
              <w:overflowPunct w:val="0"/>
              <w:autoSpaceDE w:val="0"/>
              <w:autoSpaceDN w:val="0"/>
              <w:adjustRightInd w:val="0"/>
              <w:spacing w:before="60" w:after="60"/>
              <w:jc w:val="center"/>
              <w:textAlignment w:val="baseline"/>
              <w:rPr>
                <w:rFonts w:ascii="Arial" w:hAnsi="Arial" w:cs="Arial"/>
              </w:rPr>
            </w:pPr>
            <w:r>
              <w:rPr>
                <w:rFonts w:ascii="Arial" w:hAnsi="Arial" w:cs="Arial"/>
              </w:rPr>
              <w:t>Complete</w:t>
            </w:r>
          </w:p>
        </w:tc>
      </w:tr>
      <w:tr w:rsidR="00AD5B65" w:rsidRPr="006609D8" w:rsidTr="007E371C">
        <w:tc>
          <w:tcPr>
            <w:tcW w:w="11160" w:type="dxa"/>
            <w:gridSpan w:val="3"/>
            <w:vAlign w:val="center"/>
          </w:tcPr>
          <w:p w:rsidR="00AD5B65" w:rsidRPr="00AD5B65" w:rsidRDefault="00AD5B65" w:rsidP="00AD5B65">
            <w:pPr>
              <w:pStyle w:val="Heading3"/>
              <w:rPr>
                <w:rFonts w:ascii="Arial" w:hAnsi="Arial" w:cs="Arial"/>
                <w:sz w:val="22"/>
                <w:szCs w:val="22"/>
              </w:rPr>
            </w:pPr>
            <w:r w:rsidRPr="00AD5B65">
              <w:rPr>
                <w:rFonts w:ascii="Arial" w:hAnsi="Arial" w:cs="Arial"/>
                <w:sz w:val="22"/>
                <w:szCs w:val="22"/>
              </w:rPr>
              <w:t>A. Program Initiation for Success</w:t>
            </w:r>
          </w:p>
        </w:tc>
      </w:tr>
      <w:tr w:rsidR="00C87924" w:rsidRPr="006609D8" w:rsidTr="00A74489">
        <w:tc>
          <w:tcPr>
            <w:tcW w:w="417" w:type="dxa"/>
            <w:vAlign w:val="center"/>
          </w:tcPr>
          <w:p w:rsidR="00C87924" w:rsidRPr="006609D8" w:rsidRDefault="004931B3" w:rsidP="00C05684">
            <w:pPr>
              <w:spacing w:before="60" w:after="60"/>
              <w:jc w:val="center"/>
              <w:rPr>
                <w:rFonts w:cs="Arial"/>
                <w:b/>
                <w:color w:val="003366"/>
                <w:sz w:val="18"/>
              </w:rPr>
            </w:pPr>
            <w:r>
              <w:rPr>
                <w:rFonts w:cs="Arial"/>
                <w:b/>
                <w:color w:val="003366"/>
                <w:sz w:val="18"/>
              </w:rPr>
              <w:t>1</w:t>
            </w:r>
          </w:p>
        </w:tc>
        <w:tc>
          <w:tcPr>
            <w:tcW w:w="9123" w:type="dxa"/>
            <w:vAlign w:val="center"/>
          </w:tcPr>
          <w:p w:rsidR="0038271A" w:rsidRPr="00AD5B65" w:rsidRDefault="00AD5B65" w:rsidP="00C87924">
            <w:pPr>
              <w:rPr>
                <w:rFonts w:cs="Arial"/>
                <w:i/>
                <w:color w:val="808080"/>
              </w:rPr>
            </w:pPr>
            <w:r w:rsidRPr="00AD5B65">
              <w:rPr>
                <w:rFonts w:cs="Arial"/>
              </w:rPr>
              <w:t>Identify DCC staff and their roles within the program.</w:t>
            </w:r>
          </w:p>
        </w:tc>
        <w:tc>
          <w:tcPr>
            <w:tcW w:w="1620" w:type="dxa"/>
            <w:vAlign w:val="center"/>
          </w:tcPr>
          <w:p w:rsidR="00C87924" w:rsidRPr="006609D8" w:rsidRDefault="00C87924" w:rsidP="00C05684">
            <w:pPr>
              <w:spacing w:before="60" w:after="60"/>
              <w:jc w:val="center"/>
              <w:rPr>
                <w:rFonts w:cs="Arial"/>
                <w:sz w:val="18"/>
              </w:rPr>
            </w:pPr>
            <w:r w:rsidRPr="006609D8">
              <w:rPr>
                <w:rFonts w:cs="Arial"/>
                <w:sz w:val="32"/>
                <w:szCs w:val="32"/>
              </w:rPr>
              <w:t>□</w:t>
            </w:r>
          </w:p>
        </w:tc>
      </w:tr>
      <w:tr w:rsidR="00973A40" w:rsidRPr="006609D8" w:rsidTr="007A580A">
        <w:tc>
          <w:tcPr>
            <w:tcW w:w="417" w:type="dxa"/>
            <w:vAlign w:val="center"/>
          </w:tcPr>
          <w:p w:rsidR="00973A40" w:rsidRDefault="004931B3" w:rsidP="00C05684">
            <w:pPr>
              <w:spacing w:before="60" w:after="60"/>
              <w:jc w:val="center"/>
              <w:rPr>
                <w:rFonts w:cs="Arial"/>
                <w:b/>
                <w:color w:val="003366"/>
                <w:sz w:val="18"/>
              </w:rPr>
            </w:pPr>
            <w:r>
              <w:rPr>
                <w:rFonts w:cs="Arial"/>
                <w:b/>
                <w:color w:val="003366"/>
                <w:sz w:val="18"/>
              </w:rPr>
              <w:t>2</w:t>
            </w:r>
          </w:p>
        </w:tc>
        <w:tc>
          <w:tcPr>
            <w:tcW w:w="9123" w:type="dxa"/>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cs="Arial"/>
              </w:rPr>
            </w:pPr>
            <w:r w:rsidRPr="00AD5B65">
              <w:rPr>
                <w:rFonts w:cs="Arial"/>
              </w:rPr>
              <w:t xml:space="preserve">Develop a plan that would facilitate frequent communications and interactions with all stakeholders upon commencement of a study to facilitate setting realistic goals and sharing study management ideas and strategies. </w:t>
            </w:r>
          </w:p>
        </w:tc>
        <w:tc>
          <w:tcPr>
            <w:tcW w:w="1620" w:type="dxa"/>
            <w:vAlign w:val="center"/>
          </w:tcPr>
          <w:p w:rsidR="00973A40" w:rsidRPr="006609D8" w:rsidRDefault="00973A40" w:rsidP="00C05684">
            <w:pPr>
              <w:spacing w:before="60" w:after="60"/>
              <w:jc w:val="center"/>
              <w:rPr>
                <w:rFonts w:cs="Arial"/>
                <w:sz w:val="32"/>
                <w:szCs w:val="32"/>
              </w:rPr>
            </w:pPr>
            <w:r w:rsidRPr="006609D8">
              <w:rPr>
                <w:rFonts w:cs="Arial"/>
                <w:sz w:val="32"/>
                <w:szCs w:val="32"/>
              </w:rPr>
              <w:t>□</w:t>
            </w:r>
          </w:p>
        </w:tc>
      </w:tr>
      <w:tr w:rsidR="00973A40" w:rsidRPr="006609D8" w:rsidTr="007A580A">
        <w:tc>
          <w:tcPr>
            <w:tcW w:w="417" w:type="dxa"/>
            <w:vAlign w:val="center"/>
          </w:tcPr>
          <w:p w:rsidR="00973A40" w:rsidRPr="006609D8" w:rsidRDefault="004931B3" w:rsidP="00CE4AA3">
            <w:pPr>
              <w:spacing w:before="60" w:after="60"/>
              <w:jc w:val="center"/>
              <w:rPr>
                <w:rFonts w:cs="Arial"/>
                <w:b/>
                <w:color w:val="003366"/>
                <w:sz w:val="18"/>
              </w:rPr>
            </w:pPr>
            <w:r>
              <w:rPr>
                <w:rFonts w:cs="Arial"/>
                <w:b/>
                <w:color w:val="003366"/>
                <w:sz w:val="18"/>
              </w:rPr>
              <w:t>3</w:t>
            </w:r>
          </w:p>
        </w:tc>
        <w:tc>
          <w:tcPr>
            <w:tcW w:w="9123" w:type="dxa"/>
            <w:vAlign w:val="center"/>
          </w:tcPr>
          <w:p w:rsidR="00973A40" w:rsidRPr="00AD5B65" w:rsidRDefault="00AD5B65" w:rsidP="00AD5B65">
            <w:pPr>
              <w:widowControl/>
              <w:overflowPunct/>
              <w:autoSpaceDE/>
              <w:autoSpaceDN/>
              <w:adjustRightInd/>
              <w:spacing w:before="100" w:beforeAutospacing="1" w:after="100" w:afterAutospacing="1"/>
              <w:textAlignment w:val="auto"/>
              <w:rPr>
                <w:rFonts w:cs="Arial"/>
              </w:rPr>
            </w:pPr>
            <w:r w:rsidRPr="00AD5B65">
              <w:rPr>
                <w:rFonts w:cs="Arial"/>
              </w:rPr>
              <w:t xml:space="preserve">Identify strategies to motivate, reward and recognize all stakeholders. </w:t>
            </w:r>
          </w:p>
        </w:tc>
        <w:tc>
          <w:tcPr>
            <w:tcW w:w="1620" w:type="dxa"/>
            <w:vAlign w:val="center"/>
          </w:tcPr>
          <w:p w:rsidR="00973A40" w:rsidRPr="006609D8" w:rsidRDefault="00973A40" w:rsidP="00CE4AA3">
            <w:pPr>
              <w:spacing w:before="60" w:after="60"/>
              <w:jc w:val="center"/>
              <w:rPr>
                <w:rFonts w:cs="Arial"/>
                <w:sz w:val="18"/>
              </w:rPr>
            </w:pPr>
            <w:r w:rsidRPr="006609D8">
              <w:rPr>
                <w:rFonts w:cs="Arial"/>
                <w:sz w:val="32"/>
                <w:szCs w:val="32"/>
              </w:rPr>
              <w:t>□</w:t>
            </w:r>
          </w:p>
        </w:tc>
      </w:tr>
      <w:tr w:rsidR="00973A40" w:rsidRPr="006609D8" w:rsidTr="007A580A">
        <w:tc>
          <w:tcPr>
            <w:tcW w:w="417" w:type="dxa"/>
            <w:vAlign w:val="center"/>
          </w:tcPr>
          <w:p w:rsidR="00973A40" w:rsidRPr="006609D8" w:rsidRDefault="004931B3" w:rsidP="00CE4AA3">
            <w:pPr>
              <w:spacing w:before="60" w:after="60"/>
              <w:jc w:val="center"/>
              <w:rPr>
                <w:rFonts w:cs="Arial"/>
                <w:b/>
                <w:color w:val="003366"/>
                <w:sz w:val="18"/>
              </w:rPr>
            </w:pPr>
            <w:r>
              <w:rPr>
                <w:rFonts w:cs="Arial"/>
                <w:b/>
                <w:color w:val="003366"/>
                <w:sz w:val="18"/>
              </w:rPr>
              <w:t>4</w:t>
            </w:r>
          </w:p>
        </w:tc>
        <w:tc>
          <w:tcPr>
            <w:tcW w:w="9123" w:type="dxa"/>
            <w:vAlign w:val="center"/>
          </w:tcPr>
          <w:p w:rsidR="00973A40" w:rsidRPr="00AD5B65" w:rsidRDefault="00AD5B65" w:rsidP="00CE4AA3">
            <w:pPr>
              <w:rPr>
                <w:rFonts w:cs="Arial"/>
              </w:rPr>
            </w:pPr>
            <w:r w:rsidRPr="00AD5B65">
              <w:rPr>
                <w:rFonts w:cs="Arial"/>
              </w:rPr>
              <w:t>Identify the space, staff and equipment to be used for the project and ensure that they are suitable for the project’s activities.</w:t>
            </w:r>
          </w:p>
        </w:tc>
        <w:tc>
          <w:tcPr>
            <w:tcW w:w="1620" w:type="dxa"/>
            <w:vAlign w:val="center"/>
          </w:tcPr>
          <w:p w:rsidR="00973A40" w:rsidRPr="006609D8" w:rsidRDefault="00973A40" w:rsidP="00CE4AA3">
            <w:pPr>
              <w:spacing w:before="60" w:after="60"/>
              <w:jc w:val="center"/>
              <w:rPr>
                <w:rFonts w:cs="Arial"/>
                <w:sz w:val="18"/>
              </w:rPr>
            </w:pPr>
            <w:r w:rsidRPr="006609D8">
              <w:rPr>
                <w:rFonts w:cs="Arial"/>
                <w:sz w:val="32"/>
                <w:szCs w:val="32"/>
              </w:rPr>
              <w:t>□</w:t>
            </w:r>
          </w:p>
        </w:tc>
      </w:tr>
      <w:tr w:rsidR="00973A40" w:rsidRPr="006609D8" w:rsidTr="00260DBA">
        <w:tc>
          <w:tcPr>
            <w:tcW w:w="417" w:type="dxa"/>
            <w:vAlign w:val="center"/>
          </w:tcPr>
          <w:p w:rsidR="00973A40" w:rsidRPr="006609D8" w:rsidRDefault="004931B3" w:rsidP="00C05684">
            <w:pPr>
              <w:spacing w:before="60" w:after="60"/>
              <w:jc w:val="center"/>
              <w:rPr>
                <w:rFonts w:cs="Arial"/>
                <w:b/>
                <w:color w:val="003366"/>
                <w:sz w:val="18"/>
              </w:rPr>
            </w:pPr>
            <w:r>
              <w:rPr>
                <w:rFonts w:cs="Arial"/>
                <w:b/>
                <w:color w:val="003366"/>
                <w:sz w:val="18"/>
              </w:rPr>
              <w:t>5</w:t>
            </w:r>
          </w:p>
        </w:tc>
        <w:tc>
          <w:tcPr>
            <w:tcW w:w="9123" w:type="dxa"/>
            <w:vAlign w:val="center"/>
          </w:tcPr>
          <w:p w:rsidR="00052F2E" w:rsidRPr="00AD5B65" w:rsidRDefault="00AD5B65" w:rsidP="00AD5B65">
            <w:pPr>
              <w:widowControl/>
              <w:overflowPunct/>
              <w:autoSpaceDE/>
              <w:autoSpaceDN/>
              <w:adjustRightInd/>
              <w:spacing w:before="100" w:beforeAutospacing="1" w:after="100" w:afterAutospacing="1"/>
              <w:textAlignment w:val="auto"/>
              <w:rPr>
                <w:rFonts w:cs="Arial"/>
              </w:rPr>
            </w:pPr>
            <w:r w:rsidRPr="00AD5B65">
              <w:rPr>
                <w:rFonts w:cs="Arial"/>
              </w:rPr>
              <w:t xml:space="preserve">Identify staff or committed collaborators with subject matter, clinical trial methodology and statistical analysis expertise as needed to conduct the study. </w:t>
            </w:r>
          </w:p>
        </w:tc>
        <w:tc>
          <w:tcPr>
            <w:tcW w:w="1620" w:type="dxa"/>
            <w:vAlign w:val="center"/>
          </w:tcPr>
          <w:p w:rsidR="00973A40" w:rsidRPr="006609D8" w:rsidRDefault="00973A40" w:rsidP="00C05684">
            <w:pPr>
              <w:spacing w:before="60" w:after="60"/>
              <w:jc w:val="center"/>
              <w:rPr>
                <w:rFonts w:cs="Arial"/>
                <w:sz w:val="18"/>
              </w:rPr>
            </w:pPr>
            <w:r w:rsidRPr="006609D8">
              <w:rPr>
                <w:rFonts w:cs="Arial"/>
                <w:sz w:val="32"/>
                <w:szCs w:val="32"/>
              </w:rPr>
              <w:t>□</w:t>
            </w:r>
          </w:p>
        </w:tc>
      </w:tr>
      <w:tr w:rsidR="00AD5B65" w:rsidRPr="006609D8" w:rsidTr="002D7041">
        <w:tc>
          <w:tcPr>
            <w:tcW w:w="11160" w:type="dxa"/>
            <w:gridSpan w:val="3"/>
            <w:vAlign w:val="center"/>
          </w:tcPr>
          <w:p w:rsidR="00AD5B65" w:rsidRPr="00AD5B65" w:rsidRDefault="00AD5B65" w:rsidP="00AD5B65">
            <w:pPr>
              <w:pStyle w:val="Heading3"/>
              <w:rPr>
                <w:rFonts w:ascii="Arial" w:hAnsi="Arial" w:cs="Arial"/>
                <w:sz w:val="22"/>
                <w:szCs w:val="22"/>
              </w:rPr>
            </w:pPr>
            <w:r w:rsidRPr="00AD5B65">
              <w:rPr>
                <w:rFonts w:ascii="Arial" w:hAnsi="Arial" w:cs="Arial"/>
                <w:sz w:val="22"/>
                <w:szCs w:val="22"/>
              </w:rPr>
              <w:t>B. Communication</w:t>
            </w:r>
          </w:p>
        </w:tc>
      </w:tr>
      <w:tr w:rsidR="00973A40" w:rsidRPr="006609D8" w:rsidTr="00525708">
        <w:tc>
          <w:tcPr>
            <w:tcW w:w="417" w:type="dxa"/>
            <w:vAlign w:val="center"/>
          </w:tcPr>
          <w:p w:rsidR="00973A40" w:rsidRPr="006609D8" w:rsidRDefault="004931B3" w:rsidP="00C05684">
            <w:pPr>
              <w:spacing w:before="60" w:after="60"/>
              <w:jc w:val="center"/>
              <w:rPr>
                <w:rFonts w:cs="Arial"/>
                <w:b/>
                <w:color w:val="003366"/>
                <w:sz w:val="18"/>
              </w:rPr>
            </w:pPr>
            <w:r>
              <w:rPr>
                <w:rFonts w:cs="Arial"/>
                <w:b/>
                <w:color w:val="003366"/>
                <w:sz w:val="18"/>
              </w:rPr>
              <w:t>1</w:t>
            </w:r>
          </w:p>
        </w:tc>
        <w:tc>
          <w:tcPr>
            <w:tcW w:w="9123" w:type="dxa"/>
            <w:vAlign w:val="center"/>
          </w:tcPr>
          <w:p w:rsidR="00973A40"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Develop a plan that highlights lines of communication and authority and establishes accessible and secure methods of communication (e.g., conference calls, SharePoint, websites, email, paper records, newsletters) among collective project staff. </w:t>
            </w:r>
          </w:p>
        </w:tc>
        <w:tc>
          <w:tcPr>
            <w:tcW w:w="1620" w:type="dxa"/>
            <w:vAlign w:val="center"/>
          </w:tcPr>
          <w:p w:rsidR="00973A40" w:rsidRPr="006609D8" w:rsidRDefault="00973A40" w:rsidP="00156D7C">
            <w:pPr>
              <w:spacing w:before="60" w:after="60"/>
              <w:jc w:val="center"/>
              <w:rPr>
                <w:rFonts w:cs="Arial"/>
                <w:sz w:val="18"/>
              </w:rPr>
            </w:pPr>
            <w:r w:rsidRPr="006609D8">
              <w:rPr>
                <w:rFonts w:cs="Arial"/>
                <w:sz w:val="32"/>
                <w:szCs w:val="32"/>
              </w:rPr>
              <w:t>□</w:t>
            </w:r>
          </w:p>
        </w:tc>
      </w:tr>
      <w:tr w:rsidR="00973A40" w:rsidRPr="006609D8" w:rsidTr="00300ED4">
        <w:tc>
          <w:tcPr>
            <w:tcW w:w="417" w:type="dxa"/>
            <w:vAlign w:val="center"/>
          </w:tcPr>
          <w:p w:rsidR="00973A40" w:rsidRPr="006609D8" w:rsidRDefault="004931B3" w:rsidP="00C05684">
            <w:pPr>
              <w:spacing w:before="60" w:after="60"/>
              <w:jc w:val="center"/>
              <w:rPr>
                <w:rFonts w:cs="Arial"/>
                <w:b/>
                <w:color w:val="003366"/>
                <w:sz w:val="18"/>
              </w:rPr>
            </w:pPr>
            <w:r>
              <w:rPr>
                <w:rFonts w:cs="Arial"/>
                <w:b/>
                <w:color w:val="003366"/>
                <w:sz w:val="18"/>
              </w:rPr>
              <w:t>2</w:t>
            </w:r>
          </w:p>
        </w:tc>
        <w:tc>
          <w:tcPr>
            <w:tcW w:w="9123" w:type="dxa"/>
            <w:vAlign w:val="center"/>
          </w:tcPr>
          <w:p w:rsidR="00973A40"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Develop a plan to ensure that a public website remains current and includes an adequate description of the study or studies (e.g., protocol, manual of operations, contact information), as appropriate. </w:t>
            </w:r>
          </w:p>
        </w:tc>
        <w:tc>
          <w:tcPr>
            <w:tcW w:w="1620" w:type="dxa"/>
            <w:vAlign w:val="center"/>
          </w:tcPr>
          <w:p w:rsidR="00973A40" w:rsidRPr="006609D8" w:rsidRDefault="00973A40" w:rsidP="00156D7C">
            <w:pPr>
              <w:spacing w:before="60" w:after="60"/>
              <w:jc w:val="center"/>
              <w:rPr>
                <w:rFonts w:cs="Arial"/>
                <w:sz w:val="18"/>
              </w:rPr>
            </w:pPr>
            <w:r w:rsidRPr="006609D8">
              <w:rPr>
                <w:rFonts w:cs="Arial"/>
                <w:sz w:val="32"/>
                <w:szCs w:val="32"/>
              </w:rPr>
              <w:t>□</w:t>
            </w:r>
          </w:p>
        </w:tc>
      </w:tr>
      <w:tr w:rsidR="00973A40" w:rsidRPr="006609D8" w:rsidTr="00C84A30">
        <w:tc>
          <w:tcPr>
            <w:tcW w:w="417" w:type="dxa"/>
            <w:vAlign w:val="center"/>
          </w:tcPr>
          <w:p w:rsidR="00973A40" w:rsidRPr="006609D8" w:rsidRDefault="004931B3" w:rsidP="00C05684">
            <w:pPr>
              <w:spacing w:before="60" w:after="60"/>
              <w:jc w:val="center"/>
              <w:rPr>
                <w:rFonts w:cs="Arial"/>
                <w:b/>
                <w:color w:val="003366"/>
                <w:sz w:val="18"/>
              </w:rPr>
            </w:pPr>
            <w:r>
              <w:rPr>
                <w:rFonts w:cs="Arial"/>
                <w:b/>
                <w:color w:val="003366"/>
                <w:sz w:val="18"/>
              </w:rPr>
              <w:t>3</w:t>
            </w:r>
          </w:p>
        </w:tc>
        <w:tc>
          <w:tcPr>
            <w:tcW w:w="9123" w:type="dxa"/>
            <w:vAlign w:val="center"/>
          </w:tcPr>
          <w:p w:rsidR="00973A40"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Determine how internal/administrative websites with password access for different bodies (e.g. Steering Committee, Data and Safety Monitoring Board, DCC staff) will be used for communication purposes and maintained. </w:t>
            </w:r>
          </w:p>
        </w:tc>
        <w:tc>
          <w:tcPr>
            <w:tcW w:w="1620" w:type="dxa"/>
            <w:vAlign w:val="center"/>
          </w:tcPr>
          <w:p w:rsidR="00973A40" w:rsidRPr="006609D8" w:rsidRDefault="00973A40" w:rsidP="00C05684">
            <w:pPr>
              <w:spacing w:before="60" w:after="60"/>
              <w:jc w:val="center"/>
              <w:rPr>
                <w:rFonts w:cs="Arial"/>
                <w:sz w:val="18"/>
              </w:rPr>
            </w:pPr>
            <w:r w:rsidRPr="006609D8">
              <w:rPr>
                <w:rFonts w:cs="Arial"/>
                <w:sz w:val="32"/>
                <w:szCs w:val="32"/>
              </w:rPr>
              <w:t>□</w:t>
            </w:r>
          </w:p>
        </w:tc>
      </w:tr>
      <w:tr w:rsidR="00973A40" w:rsidRPr="006609D8" w:rsidTr="001F61BF">
        <w:tc>
          <w:tcPr>
            <w:tcW w:w="417" w:type="dxa"/>
            <w:vAlign w:val="center"/>
          </w:tcPr>
          <w:p w:rsidR="00973A40" w:rsidRPr="006609D8" w:rsidRDefault="004931B3" w:rsidP="00C05684">
            <w:pPr>
              <w:spacing w:before="60" w:after="60"/>
              <w:jc w:val="center"/>
              <w:rPr>
                <w:rFonts w:cs="Arial"/>
                <w:b/>
                <w:color w:val="003366"/>
                <w:sz w:val="18"/>
              </w:rPr>
            </w:pPr>
            <w:r>
              <w:rPr>
                <w:rFonts w:cs="Arial"/>
                <w:b/>
                <w:color w:val="003366"/>
                <w:sz w:val="18"/>
              </w:rPr>
              <w:t>4</w:t>
            </w:r>
          </w:p>
        </w:tc>
        <w:tc>
          <w:tcPr>
            <w:tcW w:w="9123" w:type="dxa"/>
            <w:vAlign w:val="center"/>
          </w:tcPr>
          <w:p w:rsidR="00973A40"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Have a plan for making project plan documents accessible to appropriate study staff. </w:t>
            </w:r>
          </w:p>
        </w:tc>
        <w:tc>
          <w:tcPr>
            <w:tcW w:w="1620" w:type="dxa"/>
            <w:vAlign w:val="center"/>
          </w:tcPr>
          <w:p w:rsidR="00973A40" w:rsidRPr="006609D8" w:rsidRDefault="00973A40" w:rsidP="00C05684">
            <w:pPr>
              <w:spacing w:before="60" w:after="60"/>
              <w:jc w:val="center"/>
              <w:rPr>
                <w:rFonts w:cs="Arial"/>
                <w:sz w:val="18"/>
              </w:rPr>
            </w:pPr>
            <w:r w:rsidRPr="006609D8">
              <w:rPr>
                <w:rFonts w:cs="Arial"/>
                <w:sz w:val="32"/>
                <w:szCs w:val="32"/>
              </w:rPr>
              <w:t>□</w:t>
            </w:r>
          </w:p>
        </w:tc>
      </w:tr>
      <w:tr w:rsidR="00AD5B65" w:rsidRPr="006609D8" w:rsidTr="00D356B4">
        <w:tc>
          <w:tcPr>
            <w:tcW w:w="11160" w:type="dxa"/>
            <w:gridSpan w:val="3"/>
            <w:tcBorders>
              <w:bottom w:val="single" w:sz="4" w:space="0" w:color="auto"/>
            </w:tcBorders>
            <w:vAlign w:val="center"/>
          </w:tcPr>
          <w:p w:rsidR="00AD5B65" w:rsidRPr="00AD5B65" w:rsidRDefault="00AD5B65" w:rsidP="00AD5B65">
            <w:pPr>
              <w:pStyle w:val="Heading3"/>
              <w:rPr>
                <w:rFonts w:ascii="Arial" w:hAnsi="Arial" w:cs="Arial"/>
                <w:sz w:val="22"/>
                <w:szCs w:val="22"/>
              </w:rPr>
            </w:pPr>
            <w:r w:rsidRPr="00AD5B65">
              <w:rPr>
                <w:rFonts w:ascii="Arial" w:hAnsi="Arial" w:cs="Arial"/>
                <w:sz w:val="22"/>
                <w:szCs w:val="22"/>
              </w:rPr>
              <w:t>C. Administrative Coordination</w:t>
            </w:r>
          </w:p>
        </w:tc>
      </w:tr>
      <w:tr w:rsidR="006E39AC" w:rsidRPr="006609D8" w:rsidTr="006E39AC">
        <w:tc>
          <w:tcPr>
            <w:tcW w:w="417" w:type="dxa"/>
            <w:tcBorders>
              <w:bottom w:val="single" w:sz="4" w:space="0" w:color="auto"/>
            </w:tcBorders>
            <w:vAlign w:val="center"/>
          </w:tcPr>
          <w:p w:rsidR="006E39AC" w:rsidRDefault="004931B3" w:rsidP="00C05684">
            <w:pPr>
              <w:spacing w:before="60" w:after="60"/>
              <w:jc w:val="center"/>
              <w:rPr>
                <w:rFonts w:cs="Arial"/>
                <w:b/>
                <w:color w:val="003366"/>
                <w:sz w:val="18"/>
              </w:rPr>
            </w:pPr>
            <w:r>
              <w:rPr>
                <w:rFonts w:cs="Arial"/>
                <w:b/>
                <w:color w:val="003366"/>
                <w:sz w:val="18"/>
              </w:rPr>
              <w:t>1</w:t>
            </w:r>
          </w:p>
        </w:tc>
        <w:tc>
          <w:tcPr>
            <w:tcW w:w="9123" w:type="dxa"/>
            <w:tcBorders>
              <w:bottom w:val="single" w:sz="4" w:space="0" w:color="auto"/>
            </w:tcBorders>
            <w:vAlign w:val="center"/>
          </w:tcPr>
          <w:p w:rsidR="006E39AC"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Identify fixed and variable costs at the start of the study, strategies for constraining or reducing costs and potential areas where there may be insufficient funds. </w:t>
            </w:r>
          </w:p>
        </w:tc>
        <w:tc>
          <w:tcPr>
            <w:tcW w:w="1620" w:type="dxa"/>
            <w:tcBorders>
              <w:bottom w:val="single" w:sz="4" w:space="0" w:color="auto"/>
            </w:tcBorders>
            <w:vAlign w:val="center"/>
          </w:tcPr>
          <w:p w:rsidR="006E39AC" w:rsidRPr="006609D8" w:rsidRDefault="006E39AC" w:rsidP="00794650">
            <w:pPr>
              <w:spacing w:before="60" w:after="60"/>
              <w:jc w:val="center"/>
              <w:rPr>
                <w:rFonts w:cs="Arial"/>
                <w:sz w:val="18"/>
              </w:rPr>
            </w:pPr>
            <w:r w:rsidRPr="006609D8">
              <w:rPr>
                <w:rFonts w:cs="Arial"/>
                <w:sz w:val="32"/>
                <w:szCs w:val="32"/>
              </w:rPr>
              <w:t>□</w:t>
            </w:r>
          </w:p>
        </w:tc>
      </w:tr>
      <w:tr w:rsidR="00713A0F" w:rsidRPr="006609D8" w:rsidTr="006E39AC">
        <w:tc>
          <w:tcPr>
            <w:tcW w:w="417" w:type="dxa"/>
            <w:tcBorders>
              <w:bottom w:val="single" w:sz="4" w:space="0" w:color="auto"/>
            </w:tcBorders>
            <w:vAlign w:val="center"/>
          </w:tcPr>
          <w:p w:rsidR="00713A0F" w:rsidRDefault="004931B3" w:rsidP="00C05684">
            <w:pPr>
              <w:spacing w:before="60" w:after="60"/>
              <w:jc w:val="center"/>
              <w:rPr>
                <w:rFonts w:cs="Arial"/>
                <w:b/>
                <w:color w:val="003366"/>
                <w:sz w:val="18"/>
              </w:rPr>
            </w:pPr>
            <w:r>
              <w:rPr>
                <w:rFonts w:cs="Arial"/>
                <w:b/>
                <w:color w:val="003366"/>
                <w:sz w:val="18"/>
              </w:rPr>
              <w:t>2</w:t>
            </w:r>
          </w:p>
        </w:tc>
        <w:tc>
          <w:tcPr>
            <w:tcW w:w="9123" w:type="dxa"/>
            <w:tcBorders>
              <w:bottom w:val="single" w:sz="4" w:space="0" w:color="auto"/>
            </w:tcBorders>
            <w:vAlign w:val="center"/>
          </w:tcPr>
          <w:p w:rsidR="00713A0F"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Establish a plan for monitoring costs on a scheduled basis. </w:t>
            </w:r>
          </w:p>
        </w:tc>
        <w:tc>
          <w:tcPr>
            <w:tcW w:w="1620" w:type="dxa"/>
            <w:tcBorders>
              <w:bottom w:val="single" w:sz="4" w:space="0" w:color="auto"/>
            </w:tcBorders>
            <w:vAlign w:val="center"/>
          </w:tcPr>
          <w:p w:rsidR="00713A0F" w:rsidRPr="006609D8" w:rsidRDefault="00713A0F" w:rsidP="00794650">
            <w:pPr>
              <w:spacing w:before="60" w:after="60"/>
              <w:jc w:val="center"/>
              <w:rPr>
                <w:rFonts w:cs="Arial"/>
                <w:sz w:val="32"/>
                <w:szCs w:val="32"/>
              </w:rPr>
            </w:pPr>
            <w:r w:rsidRPr="006609D8">
              <w:rPr>
                <w:rFonts w:cs="Arial"/>
                <w:sz w:val="32"/>
                <w:szCs w:val="32"/>
              </w:rPr>
              <w:t>□</w:t>
            </w:r>
          </w:p>
        </w:tc>
      </w:tr>
      <w:tr w:rsidR="006E39AC" w:rsidRPr="006609D8" w:rsidTr="006E39AC">
        <w:tc>
          <w:tcPr>
            <w:tcW w:w="417" w:type="dxa"/>
            <w:tcBorders>
              <w:bottom w:val="single" w:sz="4" w:space="0" w:color="auto"/>
            </w:tcBorders>
            <w:vAlign w:val="center"/>
          </w:tcPr>
          <w:p w:rsidR="006E39AC" w:rsidRDefault="004931B3" w:rsidP="00794650">
            <w:pPr>
              <w:spacing w:before="60" w:after="60"/>
              <w:jc w:val="center"/>
              <w:rPr>
                <w:rFonts w:cs="Arial"/>
                <w:b/>
                <w:color w:val="003366"/>
                <w:sz w:val="18"/>
              </w:rPr>
            </w:pPr>
            <w:r>
              <w:rPr>
                <w:rFonts w:cs="Arial"/>
                <w:b/>
                <w:color w:val="003366"/>
                <w:sz w:val="18"/>
              </w:rPr>
              <w:t>3</w:t>
            </w:r>
          </w:p>
        </w:tc>
        <w:tc>
          <w:tcPr>
            <w:tcW w:w="9123" w:type="dxa"/>
            <w:tcBorders>
              <w:bottom w:val="single" w:sz="4" w:space="0" w:color="auto"/>
            </w:tcBorders>
            <w:vAlign w:val="center"/>
          </w:tcPr>
          <w:p w:rsidR="006E39AC"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Determine appropriate payments for the study. </w:t>
            </w:r>
          </w:p>
        </w:tc>
        <w:tc>
          <w:tcPr>
            <w:tcW w:w="1620" w:type="dxa"/>
            <w:tcBorders>
              <w:bottom w:val="single" w:sz="4" w:space="0" w:color="auto"/>
            </w:tcBorders>
            <w:vAlign w:val="center"/>
          </w:tcPr>
          <w:p w:rsidR="006E39AC" w:rsidRPr="006609D8" w:rsidRDefault="006E39AC" w:rsidP="00794650">
            <w:pPr>
              <w:spacing w:before="60" w:after="60"/>
              <w:jc w:val="center"/>
              <w:rPr>
                <w:rFonts w:cs="Arial"/>
                <w:sz w:val="18"/>
              </w:rPr>
            </w:pPr>
            <w:r w:rsidRPr="006609D8">
              <w:rPr>
                <w:rFonts w:cs="Arial"/>
                <w:sz w:val="32"/>
                <w:szCs w:val="32"/>
              </w:rPr>
              <w:t>□</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t>4</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Outline a plan to administer payments to sites and other units as appropriate that will foster compliance with study objectives. </w:t>
            </w:r>
          </w:p>
        </w:tc>
        <w:tc>
          <w:tcPr>
            <w:tcW w:w="1620" w:type="dxa"/>
            <w:tcBorders>
              <w:bottom w:val="single" w:sz="4" w:space="0" w:color="auto"/>
            </w:tcBorders>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t>5</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Facilitate and arrange logistics for in-person meetings and conference calls and identify staff responsible for meeting coordination (e.g., planning, note taking, and distribution of minutes and reports for meetings). </w:t>
            </w:r>
          </w:p>
        </w:tc>
        <w:tc>
          <w:tcPr>
            <w:tcW w:w="1620" w:type="dxa"/>
            <w:tcBorders>
              <w:bottom w:val="single" w:sz="4" w:space="0" w:color="auto"/>
            </w:tcBorders>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3F1EEF">
        <w:tc>
          <w:tcPr>
            <w:tcW w:w="11160" w:type="dxa"/>
            <w:gridSpan w:val="3"/>
            <w:tcBorders>
              <w:bottom w:val="single" w:sz="4" w:space="0" w:color="auto"/>
            </w:tcBorders>
            <w:vAlign w:val="center"/>
          </w:tcPr>
          <w:p w:rsidR="00AD5B65" w:rsidRPr="00AD5B65" w:rsidRDefault="00AD5B65" w:rsidP="00AD5B65">
            <w:pPr>
              <w:pStyle w:val="Heading3"/>
              <w:rPr>
                <w:rFonts w:ascii="Arial" w:hAnsi="Arial" w:cs="Arial"/>
                <w:sz w:val="22"/>
                <w:szCs w:val="22"/>
              </w:rPr>
            </w:pPr>
            <w:r w:rsidRPr="00AD5B65">
              <w:rPr>
                <w:rFonts w:ascii="Arial" w:hAnsi="Arial" w:cs="Arial"/>
                <w:sz w:val="22"/>
                <w:szCs w:val="22"/>
              </w:rPr>
              <w:t xml:space="preserve">D. Study Planning and Management </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t>1</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Provide expert assistance in protocol design and analysis plans, and feasibility assessments. </w:t>
            </w:r>
          </w:p>
        </w:tc>
        <w:tc>
          <w:tcPr>
            <w:tcW w:w="1620" w:type="dxa"/>
            <w:tcBorders>
              <w:bottom w:val="single" w:sz="4" w:space="0" w:color="auto"/>
            </w:tcBorders>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t>2</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Outline recruitment plans for identifying, screening and enrolling subjects. </w:t>
            </w:r>
          </w:p>
        </w:tc>
        <w:tc>
          <w:tcPr>
            <w:tcW w:w="1620" w:type="dxa"/>
            <w:tcBorders>
              <w:bottom w:val="single" w:sz="4" w:space="0" w:color="auto"/>
            </w:tcBorders>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t>3</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Have a plan to assess protocol feasibility and demonstrate that recruitment goals are realistic using available data on the target population from registries or prior studies to the extent </w:t>
            </w:r>
            <w:r w:rsidRPr="00AD5B65">
              <w:rPr>
                <w:rFonts w:ascii="Times New Roman" w:hAnsi="Times New Roman"/>
                <w:sz w:val="24"/>
                <w:szCs w:val="24"/>
              </w:rPr>
              <w:lastRenderedPageBreak/>
              <w:t xml:space="preserve">possible. </w:t>
            </w:r>
          </w:p>
        </w:tc>
        <w:tc>
          <w:tcPr>
            <w:tcW w:w="1620" w:type="dxa"/>
            <w:tcBorders>
              <w:bottom w:val="single" w:sz="4" w:space="0" w:color="auto"/>
            </w:tcBorders>
            <w:vAlign w:val="center"/>
          </w:tcPr>
          <w:p w:rsidR="00AD5B65" w:rsidRPr="006609D8" w:rsidRDefault="00AD5B65" w:rsidP="00C3690C">
            <w:pPr>
              <w:spacing w:before="60" w:after="60"/>
              <w:jc w:val="center"/>
              <w:rPr>
                <w:rFonts w:cs="Arial"/>
                <w:sz w:val="18"/>
              </w:rPr>
            </w:pPr>
            <w:r w:rsidRPr="006609D8">
              <w:rPr>
                <w:rFonts w:cs="Arial"/>
                <w:sz w:val="32"/>
                <w:szCs w:val="32"/>
              </w:rPr>
              <w:lastRenderedPageBreak/>
              <w:t>□</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lastRenderedPageBreak/>
              <w:t>4</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Establish processes for tracking ancillary studies and changes/approvals by the Protocol Review Committee, Data and Safety Monitoring Board (DSMB) and Institutional Review Board (IRB). </w:t>
            </w:r>
          </w:p>
        </w:tc>
        <w:tc>
          <w:tcPr>
            <w:tcW w:w="1620" w:type="dxa"/>
            <w:tcBorders>
              <w:bottom w:val="single" w:sz="4" w:space="0" w:color="auto"/>
            </w:tcBorders>
            <w:vAlign w:val="center"/>
          </w:tcPr>
          <w:p w:rsidR="00AD5B65" w:rsidRPr="006609D8" w:rsidRDefault="00AD5B65" w:rsidP="00794650">
            <w:pPr>
              <w:spacing w:before="60" w:after="60"/>
              <w:jc w:val="center"/>
              <w:rPr>
                <w:rFonts w:cs="Arial"/>
                <w:sz w:val="32"/>
                <w:szCs w:val="32"/>
              </w:rPr>
            </w:pPr>
            <w:r w:rsidRPr="006609D8">
              <w:rPr>
                <w:rFonts w:cs="Arial"/>
                <w:sz w:val="32"/>
                <w:szCs w:val="32"/>
              </w:rPr>
              <w:t>□</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t>5</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Establish procedures for negotiation of third party agreements. </w:t>
            </w:r>
          </w:p>
        </w:tc>
        <w:tc>
          <w:tcPr>
            <w:tcW w:w="1620" w:type="dxa"/>
            <w:tcBorders>
              <w:bottom w:val="single" w:sz="4" w:space="0" w:color="auto"/>
            </w:tcBorders>
            <w:vAlign w:val="center"/>
          </w:tcPr>
          <w:p w:rsidR="00AD5B65" w:rsidRPr="006609D8" w:rsidRDefault="00AD5B65" w:rsidP="00794650">
            <w:pPr>
              <w:spacing w:before="60" w:after="60"/>
              <w:jc w:val="center"/>
              <w:rPr>
                <w:rFonts w:cs="Arial"/>
                <w:sz w:val="32"/>
                <w:szCs w:val="32"/>
              </w:rPr>
            </w:pPr>
            <w:r w:rsidRPr="006609D8">
              <w:rPr>
                <w:rFonts w:cs="Arial"/>
                <w:sz w:val="32"/>
                <w:szCs w:val="32"/>
              </w:rPr>
              <w:t>□</w:t>
            </w:r>
          </w:p>
        </w:tc>
      </w:tr>
      <w:tr w:rsidR="00AD5B65" w:rsidRPr="006609D8" w:rsidTr="009A2A11">
        <w:tc>
          <w:tcPr>
            <w:tcW w:w="11160" w:type="dxa"/>
            <w:gridSpan w:val="3"/>
            <w:tcBorders>
              <w:bottom w:val="single" w:sz="4" w:space="0" w:color="auto"/>
            </w:tcBorders>
            <w:vAlign w:val="center"/>
          </w:tcPr>
          <w:p w:rsidR="00AD5B65" w:rsidRPr="00AD5B65" w:rsidRDefault="00AD5B65" w:rsidP="00AD5B65">
            <w:pPr>
              <w:pStyle w:val="Heading3"/>
              <w:rPr>
                <w:rFonts w:ascii="Arial" w:hAnsi="Arial" w:cs="Arial"/>
                <w:sz w:val="22"/>
                <w:szCs w:val="22"/>
              </w:rPr>
            </w:pPr>
            <w:r w:rsidRPr="00AD5B65">
              <w:rPr>
                <w:rFonts w:ascii="Arial" w:hAnsi="Arial" w:cs="Arial"/>
                <w:sz w:val="22"/>
                <w:szCs w:val="22"/>
              </w:rPr>
              <w:t>E. Publication and Presentation Development</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t>1</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Establish, document, and follow processes for manuscripts and presentations tracking, preparation, review, communication and submission (including interaction with pharmaceutical and device collaborators as appropriate). </w:t>
            </w:r>
          </w:p>
        </w:tc>
        <w:tc>
          <w:tcPr>
            <w:tcW w:w="1620" w:type="dxa"/>
            <w:tcBorders>
              <w:bottom w:val="single" w:sz="4" w:space="0" w:color="auto"/>
            </w:tcBorders>
            <w:vAlign w:val="center"/>
          </w:tcPr>
          <w:p w:rsidR="00AD5B65" w:rsidRPr="006609D8" w:rsidRDefault="00AD5B65" w:rsidP="00794650">
            <w:pPr>
              <w:spacing w:before="60" w:after="60"/>
              <w:jc w:val="center"/>
              <w:rPr>
                <w:rFonts w:cs="Arial"/>
                <w:sz w:val="32"/>
                <w:szCs w:val="32"/>
              </w:rPr>
            </w:pPr>
            <w:r w:rsidRPr="006609D8">
              <w:rPr>
                <w:rFonts w:cs="Arial"/>
                <w:sz w:val="32"/>
                <w:szCs w:val="32"/>
              </w:rPr>
              <w:t>□</w:t>
            </w:r>
          </w:p>
        </w:tc>
      </w:tr>
      <w:tr w:rsidR="00AD5B65" w:rsidRPr="006609D8" w:rsidTr="006E39AC">
        <w:tc>
          <w:tcPr>
            <w:tcW w:w="417" w:type="dxa"/>
            <w:tcBorders>
              <w:bottom w:val="single" w:sz="4" w:space="0" w:color="auto"/>
            </w:tcBorders>
            <w:vAlign w:val="center"/>
          </w:tcPr>
          <w:p w:rsidR="00AD5B65" w:rsidRDefault="004931B3" w:rsidP="00794650">
            <w:pPr>
              <w:spacing w:before="60" w:after="60"/>
              <w:jc w:val="center"/>
              <w:rPr>
                <w:rFonts w:cs="Arial"/>
                <w:b/>
                <w:color w:val="003366"/>
                <w:sz w:val="18"/>
              </w:rPr>
            </w:pPr>
            <w:r>
              <w:rPr>
                <w:rFonts w:cs="Arial"/>
                <w:b/>
                <w:color w:val="003366"/>
                <w:sz w:val="18"/>
              </w:rPr>
              <w:t>2</w:t>
            </w:r>
          </w:p>
        </w:tc>
        <w:tc>
          <w:tcPr>
            <w:tcW w:w="9123" w:type="dxa"/>
            <w:tcBorders>
              <w:bottom w:val="single" w:sz="4" w:space="0" w:color="auto"/>
            </w:tcBorders>
            <w:vAlign w:val="center"/>
          </w:tcPr>
          <w:p w:rsidR="00AD5B65" w:rsidRPr="00AD5B65" w:rsidRDefault="00AD5B65" w:rsidP="00AD5B65">
            <w:pPr>
              <w:widowControl/>
              <w:overflowPunct/>
              <w:autoSpaceDE/>
              <w:autoSpaceDN/>
              <w:adjustRightInd/>
              <w:spacing w:before="100" w:beforeAutospacing="1" w:after="100" w:afterAutospacing="1"/>
              <w:textAlignment w:val="auto"/>
              <w:rPr>
                <w:rFonts w:ascii="Times New Roman" w:hAnsi="Times New Roman"/>
                <w:sz w:val="24"/>
                <w:szCs w:val="24"/>
              </w:rPr>
            </w:pPr>
            <w:r w:rsidRPr="00AD5B65">
              <w:rPr>
                <w:rFonts w:ascii="Times New Roman" w:hAnsi="Times New Roman"/>
                <w:sz w:val="24"/>
                <w:szCs w:val="24"/>
              </w:rPr>
              <w:t xml:space="preserve">Provide leadership in coordination of and analysis for publications and presentations including establishing timelines for preparation and submission of primary and secondary manuscripts. </w:t>
            </w:r>
          </w:p>
        </w:tc>
        <w:tc>
          <w:tcPr>
            <w:tcW w:w="1620" w:type="dxa"/>
            <w:tcBorders>
              <w:bottom w:val="single" w:sz="4" w:space="0" w:color="auto"/>
            </w:tcBorders>
            <w:vAlign w:val="center"/>
          </w:tcPr>
          <w:p w:rsidR="00AD5B65" w:rsidRPr="006609D8" w:rsidRDefault="00AD5B65" w:rsidP="00794650">
            <w:pPr>
              <w:spacing w:before="60" w:after="60"/>
              <w:jc w:val="center"/>
              <w:rPr>
                <w:rFonts w:cs="Arial"/>
                <w:sz w:val="32"/>
                <w:szCs w:val="32"/>
              </w:rPr>
            </w:pPr>
            <w:r w:rsidRPr="006609D8">
              <w:rPr>
                <w:rFonts w:cs="Arial"/>
                <w:sz w:val="32"/>
                <w:szCs w:val="32"/>
              </w:rPr>
              <w:t>□</w:t>
            </w:r>
          </w:p>
        </w:tc>
      </w:tr>
      <w:tr w:rsidR="006E39AC" w:rsidRPr="006609D8" w:rsidTr="008F1DD0">
        <w:tc>
          <w:tcPr>
            <w:tcW w:w="9540" w:type="dxa"/>
            <w:gridSpan w:val="2"/>
            <w:shd w:val="pct10" w:color="auto" w:fill="auto"/>
            <w:vAlign w:val="bottom"/>
          </w:tcPr>
          <w:p w:rsidR="006E39AC" w:rsidRPr="00411CCC" w:rsidRDefault="00411CCC" w:rsidP="00411CCC">
            <w:pPr>
              <w:pStyle w:val="Heading2"/>
              <w:jc w:val="center"/>
              <w:rPr>
                <w:rFonts w:ascii="Arial" w:hAnsi="Arial" w:cs="Arial"/>
                <w:color w:val="1F497D" w:themeColor="text2"/>
                <w:sz w:val="22"/>
                <w:szCs w:val="22"/>
              </w:rPr>
            </w:pPr>
            <w:r>
              <w:rPr>
                <w:rFonts w:ascii="Arial" w:hAnsi="Arial" w:cs="Arial"/>
                <w:color w:val="1F497D" w:themeColor="text2"/>
                <w:sz w:val="22"/>
                <w:szCs w:val="22"/>
              </w:rPr>
              <w:t xml:space="preserve">DATA MANAGEMENT </w:t>
            </w:r>
          </w:p>
        </w:tc>
        <w:tc>
          <w:tcPr>
            <w:tcW w:w="1620" w:type="dxa"/>
            <w:shd w:val="pct10" w:color="auto" w:fill="auto"/>
            <w:vAlign w:val="center"/>
          </w:tcPr>
          <w:p w:rsidR="006E39AC" w:rsidRPr="006609D8" w:rsidRDefault="006E39AC" w:rsidP="008F1DD0">
            <w:pPr>
              <w:pStyle w:val="ASGTableSubHead"/>
              <w:widowControl w:val="0"/>
              <w:overflowPunct w:val="0"/>
              <w:autoSpaceDE w:val="0"/>
              <w:autoSpaceDN w:val="0"/>
              <w:adjustRightInd w:val="0"/>
              <w:spacing w:before="60" w:after="60"/>
              <w:jc w:val="center"/>
              <w:textAlignment w:val="baseline"/>
              <w:rPr>
                <w:rFonts w:ascii="Arial" w:hAnsi="Arial" w:cs="Arial"/>
              </w:rPr>
            </w:pPr>
            <w:r>
              <w:rPr>
                <w:rFonts w:ascii="Arial" w:hAnsi="Arial" w:cs="Arial"/>
              </w:rPr>
              <w:t>Complete</w:t>
            </w:r>
          </w:p>
        </w:tc>
      </w:tr>
      <w:tr w:rsidR="00411CCC" w:rsidRPr="006609D8" w:rsidTr="00047BB8">
        <w:tc>
          <w:tcPr>
            <w:tcW w:w="11160" w:type="dxa"/>
            <w:gridSpan w:val="3"/>
            <w:vAlign w:val="center"/>
          </w:tcPr>
          <w:p w:rsidR="00411CCC" w:rsidRPr="00411CCC" w:rsidRDefault="00411CCC" w:rsidP="00411CCC">
            <w:pPr>
              <w:pStyle w:val="Heading3"/>
              <w:rPr>
                <w:rFonts w:ascii="Arial" w:hAnsi="Arial" w:cs="Arial"/>
                <w:sz w:val="22"/>
                <w:szCs w:val="22"/>
              </w:rPr>
            </w:pPr>
            <w:r w:rsidRPr="00411CCC">
              <w:rPr>
                <w:rFonts w:ascii="Arial" w:hAnsi="Arial" w:cs="Arial"/>
                <w:sz w:val="22"/>
                <w:szCs w:val="22"/>
              </w:rPr>
              <w:t>A. Global and Data Security</w:t>
            </w:r>
          </w:p>
        </w:tc>
      </w:tr>
      <w:tr w:rsidR="006E39AC" w:rsidRPr="006609D8" w:rsidTr="004931B3">
        <w:trPr>
          <w:trHeight w:val="3149"/>
        </w:trPr>
        <w:tc>
          <w:tcPr>
            <w:tcW w:w="417" w:type="dxa"/>
            <w:vAlign w:val="center"/>
          </w:tcPr>
          <w:p w:rsidR="006E39AC" w:rsidRDefault="004931B3" w:rsidP="00BF36F9">
            <w:pPr>
              <w:spacing w:before="60" w:after="60"/>
              <w:jc w:val="center"/>
              <w:rPr>
                <w:rFonts w:cs="Arial"/>
                <w:b/>
                <w:color w:val="003366"/>
                <w:sz w:val="18"/>
              </w:rPr>
            </w:pPr>
            <w:r>
              <w:rPr>
                <w:rFonts w:cs="Arial"/>
                <w:b/>
                <w:color w:val="003366"/>
                <w:sz w:val="18"/>
              </w:rPr>
              <w:t>1</w:t>
            </w:r>
          </w:p>
        </w:tc>
        <w:tc>
          <w:tcPr>
            <w:tcW w:w="9123" w:type="dxa"/>
            <w:vAlign w:val="center"/>
          </w:tcPr>
          <w:p w:rsidR="00411CCC"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Develop and document a data security plan with appropriate security processes and procedures (regardless of data capture approach). </w:t>
            </w:r>
          </w:p>
          <w:p w:rsidR="00411CCC" w:rsidRPr="00411CCC" w:rsidRDefault="00411CCC" w:rsidP="006354B3">
            <w:pPr>
              <w:widowControl/>
              <w:numPr>
                <w:ilvl w:val="0"/>
                <w:numId w:val="1"/>
              </w:numPr>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Develop a plan using the National Institute for Standards and Technology Special Publication 800-18 guidance on appropriate topic areas and include a plan of action and milestones that would address security plan vulnerabilities. </w:t>
            </w:r>
          </w:p>
          <w:p w:rsidR="00411CCC" w:rsidRPr="00411CCC" w:rsidRDefault="00411CCC" w:rsidP="006354B3">
            <w:pPr>
              <w:widowControl/>
              <w:numPr>
                <w:ilvl w:val="0"/>
                <w:numId w:val="1"/>
              </w:numPr>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Develop a plan for disaster recovery that meets project needs for availability, confidentiality, and data/application location. </w:t>
            </w:r>
          </w:p>
          <w:p w:rsidR="00411CCC" w:rsidRPr="00411CCC" w:rsidRDefault="00411CCC" w:rsidP="006354B3">
            <w:pPr>
              <w:widowControl/>
              <w:numPr>
                <w:ilvl w:val="0"/>
                <w:numId w:val="1"/>
              </w:numPr>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Identify available security expertise to work on the project as needed. </w:t>
            </w:r>
          </w:p>
          <w:p w:rsidR="006E39AC" w:rsidRPr="00411CCC" w:rsidRDefault="00411CCC" w:rsidP="006354B3">
            <w:pPr>
              <w:widowControl/>
              <w:numPr>
                <w:ilvl w:val="0"/>
                <w:numId w:val="1"/>
              </w:numPr>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Develop a plan and assign responsibilities for Information Technology (IT) security at each site or core lab, if data are to be uploaded.</w:t>
            </w:r>
          </w:p>
        </w:tc>
        <w:tc>
          <w:tcPr>
            <w:tcW w:w="1620" w:type="dxa"/>
            <w:vAlign w:val="center"/>
          </w:tcPr>
          <w:p w:rsidR="006E39AC" w:rsidRPr="006609D8" w:rsidRDefault="006E39AC" w:rsidP="00794650">
            <w:pPr>
              <w:spacing w:before="60" w:after="60"/>
              <w:jc w:val="center"/>
              <w:rPr>
                <w:rFonts w:cs="Arial"/>
                <w:sz w:val="18"/>
              </w:rPr>
            </w:pPr>
            <w:r w:rsidRPr="006609D8">
              <w:rPr>
                <w:rFonts w:cs="Arial"/>
                <w:sz w:val="32"/>
                <w:szCs w:val="32"/>
              </w:rPr>
              <w:t>□</w:t>
            </w:r>
          </w:p>
        </w:tc>
      </w:tr>
      <w:tr w:rsidR="00411CCC" w:rsidRPr="006609D8" w:rsidTr="00E672AC">
        <w:tc>
          <w:tcPr>
            <w:tcW w:w="11160" w:type="dxa"/>
            <w:gridSpan w:val="3"/>
            <w:vAlign w:val="center"/>
          </w:tcPr>
          <w:p w:rsidR="00411CCC" w:rsidRPr="00411CCC" w:rsidRDefault="00411CCC" w:rsidP="00411CCC">
            <w:pPr>
              <w:pStyle w:val="Heading3"/>
              <w:rPr>
                <w:rFonts w:ascii="Arial" w:hAnsi="Arial" w:cs="Arial"/>
                <w:sz w:val="22"/>
                <w:szCs w:val="22"/>
              </w:rPr>
            </w:pPr>
            <w:r w:rsidRPr="00411CCC">
              <w:rPr>
                <w:rFonts w:ascii="Arial" w:hAnsi="Arial" w:cs="Arial"/>
                <w:sz w:val="22"/>
                <w:szCs w:val="22"/>
              </w:rPr>
              <w:t>B. Data Systems</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1</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Utilize data dictionaries (meta data) that describe the formatting and descriptive contents of uploaded data for all systems (including clinical site systems) and provide appropriate expertise.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2</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Ensure data management systems comply with privacy and accessibility regulatory requirements and/or Public Laws (e.g. Section 508 amendment to the Rehabilitation Act, Privacy Impact Assessment, Title 21 CFR Part II, Privacy Act, Health Insurance and Portability and Accountability Act (HIPAA etc.).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3</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Test, validate, and optimize data capture systems to provide immediate feedback on user errors logic errors, and out-of-range data, including across-form consistency.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4</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Develop a system to track </w:t>
            </w:r>
            <w:proofErr w:type="spellStart"/>
            <w:r w:rsidRPr="00411CCC">
              <w:rPr>
                <w:rFonts w:ascii="Times New Roman" w:hAnsi="Times New Roman"/>
                <w:sz w:val="24"/>
                <w:szCs w:val="24"/>
              </w:rPr>
              <w:t>biospecimens</w:t>
            </w:r>
            <w:proofErr w:type="spellEnd"/>
            <w:r w:rsidRPr="00411CCC">
              <w:rPr>
                <w:rFonts w:ascii="Times New Roman" w:hAnsi="Times New Roman"/>
                <w:sz w:val="24"/>
                <w:szCs w:val="24"/>
              </w:rPr>
              <w:t xml:space="preserve">, when appropriate, and maintain the link between the </w:t>
            </w:r>
            <w:proofErr w:type="spellStart"/>
            <w:r w:rsidRPr="00411CCC">
              <w:rPr>
                <w:rFonts w:ascii="Times New Roman" w:hAnsi="Times New Roman"/>
                <w:sz w:val="24"/>
                <w:szCs w:val="24"/>
              </w:rPr>
              <w:t>biospecimens</w:t>
            </w:r>
            <w:proofErr w:type="spellEnd"/>
            <w:r w:rsidRPr="00411CCC">
              <w:rPr>
                <w:rFonts w:ascii="Times New Roman" w:hAnsi="Times New Roman"/>
                <w:sz w:val="24"/>
                <w:szCs w:val="24"/>
              </w:rPr>
              <w:t xml:space="preserve"> and the study data incorporating appropriate QC samples.</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411CCC" w:rsidRPr="006609D8" w:rsidTr="00A0528A">
        <w:tc>
          <w:tcPr>
            <w:tcW w:w="11160" w:type="dxa"/>
            <w:gridSpan w:val="3"/>
            <w:vAlign w:val="center"/>
          </w:tcPr>
          <w:p w:rsidR="00411CCC" w:rsidRPr="00411CCC" w:rsidRDefault="00411CCC" w:rsidP="00411CCC">
            <w:pPr>
              <w:pStyle w:val="Heading3"/>
              <w:rPr>
                <w:rFonts w:ascii="Arial" w:hAnsi="Arial" w:cs="Arial"/>
                <w:sz w:val="22"/>
                <w:szCs w:val="22"/>
              </w:rPr>
            </w:pPr>
            <w:r w:rsidRPr="00411CCC">
              <w:rPr>
                <w:rFonts w:ascii="Arial" w:hAnsi="Arial" w:cs="Arial"/>
                <w:sz w:val="22"/>
                <w:szCs w:val="22"/>
              </w:rPr>
              <w:t>C. Randomization</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1</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Have the ability to support web-based allocation (when needed), touch-tone allocation, and email notifications.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2</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Limit access to randomization sequences/algorithms, code, and validation programs to as few individuals as practical.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3</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Provide flexibility in the randomization system to allow for permuted block or other adaptive randomization procedures.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lastRenderedPageBreak/>
              <w:t>4</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Check eligibility electronically prior to permitting randomization, where possible.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411CCC" w:rsidRPr="006609D8" w:rsidTr="00C67817">
        <w:tc>
          <w:tcPr>
            <w:tcW w:w="11160" w:type="dxa"/>
            <w:gridSpan w:val="3"/>
            <w:vAlign w:val="center"/>
          </w:tcPr>
          <w:p w:rsidR="00411CCC" w:rsidRPr="00411CCC" w:rsidRDefault="00411CCC" w:rsidP="00411CCC">
            <w:pPr>
              <w:pStyle w:val="Heading3"/>
              <w:rPr>
                <w:rFonts w:ascii="Arial" w:hAnsi="Arial" w:cs="Arial"/>
                <w:sz w:val="22"/>
                <w:szCs w:val="22"/>
              </w:rPr>
            </w:pPr>
            <w:r w:rsidRPr="00411CCC">
              <w:rPr>
                <w:rFonts w:ascii="Arial" w:hAnsi="Arial" w:cs="Arial"/>
                <w:sz w:val="22"/>
                <w:szCs w:val="22"/>
              </w:rPr>
              <w:t>D. Reporting</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1</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Provide timely feedback to sites including real-time reporting on items like forms completion, missed visits, data entry issues and point-in-time reporting on items like performance reports and comparisons among sites.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2</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Provide reports for clinical sites on items like upcoming visits and unresolved delinquencies.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3</w:t>
            </w:r>
          </w:p>
        </w:tc>
        <w:tc>
          <w:tcPr>
            <w:tcW w:w="9123" w:type="dxa"/>
            <w:vAlign w:val="center"/>
          </w:tcPr>
          <w:p w:rsidR="00AD5B65" w:rsidRPr="00411CCC" w:rsidRDefault="00411CCC" w:rsidP="00411CCC">
            <w:pPr>
              <w:widowControl/>
              <w:overflowPunct/>
              <w:autoSpaceDE/>
              <w:autoSpaceDN/>
              <w:adjustRightInd/>
              <w:spacing w:before="100" w:beforeAutospacing="1" w:after="100" w:afterAutospacing="1"/>
              <w:textAlignment w:val="auto"/>
              <w:rPr>
                <w:rFonts w:ascii="Times New Roman" w:hAnsi="Times New Roman"/>
                <w:sz w:val="24"/>
                <w:szCs w:val="24"/>
              </w:rPr>
            </w:pPr>
            <w:r w:rsidRPr="00411CCC">
              <w:rPr>
                <w:rFonts w:ascii="Times New Roman" w:hAnsi="Times New Roman"/>
                <w:sz w:val="24"/>
                <w:szCs w:val="24"/>
              </w:rPr>
              <w:t xml:space="preserve">Collaborate with clinicians and committees to design and develop appropriate reports and establish reporting frequency, including reporting by site, when appropriate. </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4</w:t>
            </w:r>
          </w:p>
        </w:tc>
        <w:tc>
          <w:tcPr>
            <w:tcW w:w="9123" w:type="dxa"/>
            <w:vAlign w:val="center"/>
          </w:tcPr>
          <w:p w:rsidR="00AD5B65" w:rsidRPr="00411CCC" w:rsidRDefault="00411CCC" w:rsidP="00794650">
            <w:pPr>
              <w:pStyle w:val="ListParagraph"/>
              <w:widowControl/>
              <w:overflowPunct/>
              <w:autoSpaceDE/>
              <w:autoSpaceDN/>
              <w:adjustRightInd/>
              <w:ind w:left="0"/>
              <w:textAlignment w:val="auto"/>
              <w:rPr>
                <w:rFonts w:ascii="Times New Roman" w:hAnsi="Times New Roman"/>
                <w:b/>
                <w:sz w:val="24"/>
                <w:szCs w:val="24"/>
              </w:rPr>
            </w:pPr>
            <w:r w:rsidRPr="00411CCC">
              <w:rPr>
                <w:rFonts w:ascii="Times New Roman" w:hAnsi="Times New Roman"/>
                <w:sz w:val="24"/>
                <w:szCs w:val="24"/>
              </w:rPr>
              <w:t>Have a plan for ensuring accurate and reliable analyses.</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5</w:t>
            </w:r>
          </w:p>
        </w:tc>
        <w:tc>
          <w:tcPr>
            <w:tcW w:w="9123" w:type="dxa"/>
            <w:vAlign w:val="center"/>
          </w:tcPr>
          <w:p w:rsidR="00AD5B65" w:rsidRPr="00411CCC" w:rsidRDefault="00411CCC" w:rsidP="00794650">
            <w:pPr>
              <w:pStyle w:val="ListParagraph"/>
              <w:widowControl/>
              <w:overflowPunct/>
              <w:autoSpaceDE/>
              <w:autoSpaceDN/>
              <w:adjustRightInd/>
              <w:ind w:left="0"/>
              <w:textAlignment w:val="auto"/>
              <w:rPr>
                <w:rFonts w:ascii="Times New Roman" w:hAnsi="Times New Roman"/>
                <w:b/>
                <w:sz w:val="24"/>
                <w:szCs w:val="24"/>
              </w:rPr>
            </w:pPr>
            <w:r w:rsidRPr="00411CCC">
              <w:rPr>
                <w:rFonts w:ascii="Times New Roman" w:hAnsi="Times New Roman"/>
                <w:sz w:val="24"/>
                <w:szCs w:val="24"/>
              </w:rPr>
              <w:t>Use graphics for reports and summaries provided to the DSMB, Steering Committee, and others to ensure that large amounts of data can be understood and assessed in an efficient and accurate manner.</w:t>
            </w:r>
          </w:p>
        </w:tc>
        <w:tc>
          <w:tcPr>
            <w:tcW w:w="1620" w:type="dxa"/>
            <w:vAlign w:val="center"/>
          </w:tcPr>
          <w:p w:rsidR="00AD5B65" w:rsidRPr="006609D8" w:rsidRDefault="00AD5B65" w:rsidP="00C3690C">
            <w:pPr>
              <w:spacing w:before="60" w:after="60"/>
              <w:jc w:val="center"/>
              <w:rPr>
                <w:rFonts w:cs="Arial"/>
                <w:sz w:val="18"/>
              </w:rPr>
            </w:pPr>
            <w:r w:rsidRPr="006609D8">
              <w:rPr>
                <w:rFonts w:cs="Arial"/>
                <w:sz w:val="32"/>
                <w:szCs w:val="32"/>
              </w:rPr>
              <w:t>□</w:t>
            </w:r>
          </w:p>
        </w:tc>
      </w:tr>
      <w:tr w:rsidR="00411CCC" w:rsidRPr="006609D8" w:rsidTr="000C566E">
        <w:tc>
          <w:tcPr>
            <w:tcW w:w="11160" w:type="dxa"/>
            <w:gridSpan w:val="3"/>
            <w:vAlign w:val="center"/>
          </w:tcPr>
          <w:p w:rsidR="00411CCC" w:rsidRPr="004931B3" w:rsidRDefault="004931B3" w:rsidP="004931B3">
            <w:pPr>
              <w:pStyle w:val="Heading3"/>
              <w:rPr>
                <w:rFonts w:ascii="Arial" w:hAnsi="Arial" w:cs="Arial"/>
                <w:sz w:val="22"/>
                <w:szCs w:val="22"/>
              </w:rPr>
            </w:pPr>
            <w:r w:rsidRPr="004931B3">
              <w:rPr>
                <w:rFonts w:ascii="Arial" w:hAnsi="Arial" w:cs="Arial"/>
                <w:sz w:val="22"/>
                <w:szCs w:val="22"/>
              </w:rPr>
              <w:t>E. Analysis</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1</w:t>
            </w:r>
          </w:p>
        </w:tc>
        <w:tc>
          <w:tcPr>
            <w:tcW w:w="9123" w:type="dxa"/>
            <w:vAlign w:val="center"/>
          </w:tcPr>
          <w:p w:rsidR="00AD5B65"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Address primary and secondary analyses in the analysis plan to the extent possible. </w:t>
            </w:r>
          </w:p>
        </w:tc>
        <w:tc>
          <w:tcPr>
            <w:tcW w:w="1620" w:type="dxa"/>
            <w:vAlign w:val="center"/>
          </w:tcPr>
          <w:p w:rsidR="00AD5B65" w:rsidRPr="006609D8" w:rsidRDefault="004931B3" w:rsidP="00794650">
            <w:pPr>
              <w:spacing w:before="60" w:after="60"/>
              <w:jc w:val="center"/>
              <w:rPr>
                <w:rFonts w:cs="Arial"/>
                <w:sz w:val="32"/>
                <w:szCs w:val="32"/>
              </w:rPr>
            </w:pPr>
            <w:r w:rsidRPr="006609D8">
              <w:rPr>
                <w:rFonts w:cs="Arial"/>
                <w:sz w:val="32"/>
                <w:szCs w:val="32"/>
              </w:rPr>
              <w:t>□</w:t>
            </w:r>
          </w:p>
        </w:tc>
      </w:tr>
      <w:tr w:rsidR="00AD5B65" w:rsidRPr="006609D8" w:rsidTr="00F67857">
        <w:tc>
          <w:tcPr>
            <w:tcW w:w="417" w:type="dxa"/>
            <w:vAlign w:val="center"/>
          </w:tcPr>
          <w:p w:rsidR="00AD5B65" w:rsidRDefault="004931B3" w:rsidP="00BF36F9">
            <w:pPr>
              <w:spacing w:before="60" w:after="60"/>
              <w:jc w:val="center"/>
              <w:rPr>
                <w:rFonts w:cs="Arial"/>
                <w:b/>
                <w:color w:val="003366"/>
                <w:sz w:val="18"/>
              </w:rPr>
            </w:pPr>
            <w:r>
              <w:rPr>
                <w:rFonts w:cs="Arial"/>
                <w:b/>
                <w:color w:val="003366"/>
                <w:sz w:val="18"/>
              </w:rPr>
              <w:t>2</w:t>
            </w:r>
          </w:p>
        </w:tc>
        <w:tc>
          <w:tcPr>
            <w:tcW w:w="9123" w:type="dxa"/>
            <w:vAlign w:val="center"/>
          </w:tcPr>
          <w:p w:rsidR="004931B3"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Establish a mechanism to process requests for secondary/ancillary analyses not addressed in the analysis plan. </w:t>
            </w:r>
          </w:p>
          <w:p w:rsidR="004931B3" w:rsidRPr="004931B3" w:rsidRDefault="004931B3" w:rsidP="006354B3">
            <w:pPr>
              <w:widowControl/>
              <w:numPr>
                <w:ilvl w:val="0"/>
                <w:numId w:val="2"/>
              </w:numPr>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Require that requests for analyses contain a scientific question/hypothesis, and lists of variables, time points and proposed comparisons. </w:t>
            </w:r>
          </w:p>
          <w:p w:rsidR="00AD5B65" w:rsidRPr="004931B3" w:rsidRDefault="004931B3" w:rsidP="006354B3">
            <w:pPr>
              <w:widowControl/>
              <w:numPr>
                <w:ilvl w:val="0"/>
                <w:numId w:val="2"/>
              </w:numPr>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Establish a plan to set priorities for analyses by a group that includes DCC representation and takes into account the total Full Time Equivalents of statistical and statistical programming effort dedicated to these tasks. </w:t>
            </w:r>
          </w:p>
        </w:tc>
        <w:tc>
          <w:tcPr>
            <w:tcW w:w="1620" w:type="dxa"/>
            <w:vAlign w:val="center"/>
          </w:tcPr>
          <w:p w:rsidR="00AD5B65" w:rsidRPr="006609D8" w:rsidRDefault="004931B3" w:rsidP="00794650">
            <w:pPr>
              <w:spacing w:before="60" w:after="60"/>
              <w:jc w:val="center"/>
              <w:rPr>
                <w:rFonts w:cs="Arial"/>
                <w:sz w:val="32"/>
                <w:szCs w:val="32"/>
              </w:rPr>
            </w:pPr>
            <w:r w:rsidRPr="006609D8">
              <w:rPr>
                <w:rFonts w:cs="Arial"/>
                <w:sz w:val="32"/>
                <w:szCs w:val="32"/>
              </w:rPr>
              <w:t>□</w:t>
            </w:r>
          </w:p>
        </w:tc>
      </w:tr>
      <w:tr w:rsidR="006E39AC" w:rsidRPr="006609D8" w:rsidTr="008F1DD0">
        <w:tc>
          <w:tcPr>
            <w:tcW w:w="9540" w:type="dxa"/>
            <w:gridSpan w:val="2"/>
            <w:shd w:val="clear" w:color="auto" w:fill="E8EDF0"/>
          </w:tcPr>
          <w:p w:rsidR="006E39AC" w:rsidRPr="00C05684" w:rsidRDefault="004931B3" w:rsidP="00156D7C">
            <w:pPr>
              <w:pStyle w:val="ASGTableSubHead"/>
              <w:widowControl w:val="0"/>
              <w:overflowPunct w:val="0"/>
              <w:autoSpaceDE w:val="0"/>
              <w:autoSpaceDN w:val="0"/>
              <w:adjustRightInd w:val="0"/>
              <w:spacing w:before="60" w:after="60"/>
              <w:jc w:val="center"/>
              <w:textAlignment w:val="baseline"/>
              <w:rPr>
                <w:rFonts w:ascii="Arial" w:hAnsi="Arial" w:cs="Arial"/>
                <w:sz w:val="22"/>
                <w:szCs w:val="22"/>
              </w:rPr>
            </w:pPr>
            <w:r>
              <w:rPr>
                <w:rFonts w:ascii="Arial" w:hAnsi="Arial" w:cs="Arial"/>
                <w:sz w:val="22"/>
                <w:szCs w:val="22"/>
              </w:rPr>
              <w:t>Qualtiy Control/quality Assurance</w:t>
            </w:r>
          </w:p>
        </w:tc>
        <w:tc>
          <w:tcPr>
            <w:tcW w:w="1620" w:type="dxa"/>
            <w:shd w:val="clear" w:color="auto" w:fill="E8EDF0"/>
            <w:vAlign w:val="center"/>
          </w:tcPr>
          <w:p w:rsidR="006E39AC" w:rsidRPr="006609D8" w:rsidRDefault="006E39AC" w:rsidP="008F1DD0">
            <w:pPr>
              <w:pStyle w:val="ASGTableSubHead"/>
              <w:widowControl w:val="0"/>
              <w:overflowPunct w:val="0"/>
              <w:autoSpaceDE w:val="0"/>
              <w:autoSpaceDN w:val="0"/>
              <w:adjustRightInd w:val="0"/>
              <w:spacing w:before="60" w:after="60"/>
              <w:jc w:val="center"/>
              <w:textAlignment w:val="baseline"/>
              <w:rPr>
                <w:rFonts w:ascii="Arial" w:hAnsi="Arial" w:cs="Arial"/>
              </w:rPr>
            </w:pPr>
            <w:r>
              <w:rPr>
                <w:rFonts w:ascii="Arial" w:hAnsi="Arial" w:cs="Arial"/>
              </w:rPr>
              <w:t>Complete</w:t>
            </w:r>
          </w:p>
        </w:tc>
      </w:tr>
      <w:tr w:rsidR="004931B3" w:rsidRPr="006609D8" w:rsidTr="00F17D05">
        <w:tc>
          <w:tcPr>
            <w:tcW w:w="11160" w:type="dxa"/>
            <w:gridSpan w:val="3"/>
            <w:vAlign w:val="center"/>
          </w:tcPr>
          <w:p w:rsidR="004931B3" w:rsidRPr="004931B3" w:rsidRDefault="004931B3" w:rsidP="004931B3">
            <w:pPr>
              <w:pStyle w:val="Heading3"/>
              <w:rPr>
                <w:rFonts w:ascii="Arial" w:hAnsi="Arial" w:cs="Arial"/>
                <w:sz w:val="22"/>
                <w:szCs w:val="22"/>
              </w:rPr>
            </w:pPr>
            <w:r w:rsidRPr="004931B3">
              <w:rPr>
                <w:rFonts w:ascii="Arial" w:hAnsi="Arial" w:cs="Arial"/>
                <w:sz w:val="22"/>
                <w:szCs w:val="22"/>
              </w:rPr>
              <w:t>A. Quality Assurance (QA)</w:t>
            </w:r>
          </w:p>
        </w:tc>
      </w:tr>
      <w:tr w:rsidR="006E39AC" w:rsidRPr="006609D8" w:rsidTr="0033132D">
        <w:tc>
          <w:tcPr>
            <w:tcW w:w="417" w:type="dxa"/>
            <w:vAlign w:val="center"/>
          </w:tcPr>
          <w:p w:rsidR="006E39AC" w:rsidRPr="006609D8" w:rsidRDefault="004931B3" w:rsidP="0088426D">
            <w:pPr>
              <w:spacing w:before="60" w:after="60"/>
              <w:jc w:val="center"/>
              <w:rPr>
                <w:rFonts w:cs="Arial"/>
                <w:b/>
                <w:color w:val="003366"/>
                <w:sz w:val="18"/>
              </w:rPr>
            </w:pPr>
            <w:r>
              <w:rPr>
                <w:rFonts w:cs="Arial"/>
                <w:b/>
                <w:color w:val="003366"/>
                <w:sz w:val="18"/>
              </w:rPr>
              <w:t>1</w:t>
            </w:r>
          </w:p>
        </w:tc>
        <w:tc>
          <w:tcPr>
            <w:tcW w:w="9123" w:type="dxa"/>
            <w:vAlign w:val="center"/>
          </w:tcPr>
          <w:p w:rsidR="006E39AC"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Identify lead QA staff. </w:t>
            </w:r>
          </w:p>
        </w:tc>
        <w:tc>
          <w:tcPr>
            <w:tcW w:w="1620" w:type="dxa"/>
            <w:vAlign w:val="center"/>
          </w:tcPr>
          <w:p w:rsidR="006E39AC" w:rsidRPr="006609D8" w:rsidRDefault="006E39AC" w:rsidP="0013594E">
            <w:pPr>
              <w:spacing w:before="60" w:after="60"/>
              <w:jc w:val="center"/>
              <w:rPr>
                <w:rFonts w:cs="Arial"/>
                <w:sz w:val="18"/>
              </w:rPr>
            </w:pPr>
            <w:r w:rsidRPr="006609D8">
              <w:rPr>
                <w:rFonts w:cs="Arial"/>
                <w:sz w:val="32"/>
                <w:szCs w:val="32"/>
              </w:rPr>
              <w:t>□</w:t>
            </w:r>
          </w:p>
        </w:tc>
      </w:tr>
      <w:tr w:rsidR="006E39AC" w:rsidRPr="006609D8" w:rsidTr="00B52772">
        <w:tc>
          <w:tcPr>
            <w:tcW w:w="417" w:type="dxa"/>
            <w:vAlign w:val="center"/>
          </w:tcPr>
          <w:p w:rsidR="006E39AC" w:rsidRPr="006609D8" w:rsidRDefault="004931B3" w:rsidP="0088426D">
            <w:pPr>
              <w:spacing w:before="60" w:after="60"/>
              <w:jc w:val="center"/>
              <w:rPr>
                <w:rFonts w:cs="Arial"/>
                <w:b/>
                <w:color w:val="003366"/>
                <w:sz w:val="18"/>
              </w:rPr>
            </w:pPr>
            <w:r>
              <w:rPr>
                <w:rFonts w:cs="Arial"/>
                <w:b/>
                <w:color w:val="003366"/>
                <w:sz w:val="18"/>
              </w:rPr>
              <w:t>2</w:t>
            </w:r>
          </w:p>
        </w:tc>
        <w:tc>
          <w:tcPr>
            <w:tcW w:w="9123" w:type="dxa"/>
            <w:vAlign w:val="center"/>
          </w:tcPr>
          <w:p w:rsidR="006E39AC"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Create a quality management plan at the start of the program, which focuses on key variables and potential vulnerable areas (risk based approach). </w:t>
            </w:r>
          </w:p>
        </w:tc>
        <w:tc>
          <w:tcPr>
            <w:tcW w:w="1620" w:type="dxa"/>
            <w:vAlign w:val="center"/>
          </w:tcPr>
          <w:p w:rsidR="006E39AC" w:rsidRPr="006609D8" w:rsidRDefault="006E39AC" w:rsidP="0013594E">
            <w:pPr>
              <w:spacing w:before="60" w:after="60"/>
              <w:jc w:val="center"/>
              <w:rPr>
                <w:rFonts w:cs="Arial"/>
                <w:sz w:val="18"/>
              </w:rPr>
            </w:pPr>
            <w:r w:rsidRPr="006609D8">
              <w:rPr>
                <w:rFonts w:cs="Arial"/>
                <w:sz w:val="32"/>
                <w:szCs w:val="32"/>
              </w:rPr>
              <w:t>□</w:t>
            </w:r>
          </w:p>
        </w:tc>
      </w:tr>
      <w:tr w:rsidR="006E39AC" w:rsidRPr="006609D8" w:rsidTr="007E40C6">
        <w:tc>
          <w:tcPr>
            <w:tcW w:w="417" w:type="dxa"/>
            <w:vAlign w:val="center"/>
          </w:tcPr>
          <w:p w:rsidR="006E39AC" w:rsidRPr="006609D8" w:rsidRDefault="004931B3" w:rsidP="0088426D">
            <w:pPr>
              <w:spacing w:before="60" w:after="60"/>
              <w:jc w:val="center"/>
              <w:rPr>
                <w:rFonts w:cs="Arial"/>
                <w:b/>
                <w:color w:val="003366"/>
                <w:sz w:val="18"/>
              </w:rPr>
            </w:pPr>
            <w:r>
              <w:rPr>
                <w:rFonts w:cs="Arial"/>
                <w:b/>
                <w:color w:val="003366"/>
                <w:sz w:val="18"/>
              </w:rPr>
              <w:t>3</w:t>
            </w:r>
          </w:p>
        </w:tc>
        <w:tc>
          <w:tcPr>
            <w:tcW w:w="9123" w:type="dxa"/>
            <w:vAlign w:val="center"/>
          </w:tcPr>
          <w:p w:rsidR="006E39AC"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Have written programs for training study monitoring staff. </w:t>
            </w:r>
          </w:p>
        </w:tc>
        <w:tc>
          <w:tcPr>
            <w:tcW w:w="1620" w:type="dxa"/>
            <w:vAlign w:val="center"/>
          </w:tcPr>
          <w:p w:rsidR="006E39AC" w:rsidRPr="006609D8" w:rsidRDefault="006E39AC" w:rsidP="001B4BFF">
            <w:pPr>
              <w:spacing w:before="60" w:after="60"/>
              <w:jc w:val="center"/>
              <w:rPr>
                <w:rFonts w:cs="Arial"/>
                <w:sz w:val="18"/>
              </w:rPr>
            </w:pPr>
            <w:r w:rsidRPr="006609D8">
              <w:rPr>
                <w:rFonts w:cs="Arial"/>
                <w:sz w:val="32"/>
                <w:szCs w:val="32"/>
              </w:rPr>
              <w:t>□</w:t>
            </w:r>
          </w:p>
        </w:tc>
      </w:tr>
      <w:tr w:rsidR="006E39AC" w:rsidRPr="006609D8" w:rsidTr="00144707">
        <w:trPr>
          <w:trHeight w:val="188"/>
        </w:trPr>
        <w:tc>
          <w:tcPr>
            <w:tcW w:w="417" w:type="dxa"/>
            <w:vAlign w:val="center"/>
          </w:tcPr>
          <w:p w:rsidR="006E39AC" w:rsidRPr="006609D8" w:rsidRDefault="004931B3" w:rsidP="0088426D">
            <w:pPr>
              <w:spacing w:before="60" w:after="60"/>
              <w:jc w:val="center"/>
              <w:rPr>
                <w:rFonts w:cs="Arial"/>
                <w:b/>
                <w:color w:val="003366"/>
                <w:sz w:val="18"/>
              </w:rPr>
            </w:pPr>
            <w:r>
              <w:rPr>
                <w:rFonts w:cs="Arial"/>
                <w:b/>
                <w:color w:val="003366"/>
                <w:sz w:val="18"/>
              </w:rPr>
              <w:t>4</w:t>
            </w:r>
          </w:p>
        </w:tc>
        <w:tc>
          <w:tcPr>
            <w:tcW w:w="9123" w:type="dxa"/>
            <w:vAlign w:val="center"/>
          </w:tcPr>
          <w:p w:rsidR="006E39AC"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Provide study staff (DCC and clinical sites) with pertinent ongoing training including documentation of proficiency (protocol certification, Human Subjects Training, Ethics Training, IT Security, data capture etc.) and establish timelines/triggers for retraining at appropriate intervals. </w:t>
            </w:r>
          </w:p>
        </w:tc>
        <w:tc>
          <w:tcPr>
            <w:tcW w:w="1620" w:type="dxa"/>
            <w:vAlign w:val="center"/>
          </w:tcPr>
          <w:p w:rsidR="006E39AC" w:rsidRPr="006609D8" w:rsidRDefault="006E39AC" w:rsidP="001B4BFF">
            <w:pPr>
              <w:spacing w:before="60" w:after="60"/>
              <w:jc w:val="center"/>
              <w:rPr>
                <w:rFonts w:cs="Arial"/>
                <w:sz w:val="18"/>
              </w:rPr>
            </w:pPr>
            <w:r w:rsidRPr="006609D8">
              <w:rPr>
                <w:rFonts w:cs="Arial"/>
                <w:sz w:val="32"/>
                <w:szCs w:val="32"/>
              </w:rPr>
              <w:t>□</w:t>
            </w:r>
          </w:p>
        </w:tc>
      </w:tr>
      <w:tr w:rsidR="006E39AC" w:rsidRPr="006609D8" w:rsidTr="007B21F7">
        <w:tc>
          <w:tcPr>
            <w:tcW w:w="417" w:type="dxa"/>
            <w:vAlign w:val="center"/>
          </w:tcPr>
          <w:p w:rsidR="006E39AC" w:rsidRPr="006609D8" w:rsidRDefault="004931B3" w:rsidP="0088426D">
            <w:pPr>
              <w:spacing w:before="60" w:after="60"/>
              <w:jc w:val="center"/>
              <w:rPr>
                <w:rFonts w:cs="Arial"/>
                <w:b/>
                <w:color w:val="003366"/>
                <w:sz w:val="18"/>
              </w:rPr>
            </w:pPr>
            <w:r>
              <w:rPr>
                <w:rFonts w:cs="Arial"/>
                <w:b/>
                <w:color w:val="003366"/>
                <w:sz w:val="18"/>
              </w:rPr>
              <w:t>5</w:t>
            </w:r>
          </w:p>
        </w:tc>
        <w:tc>
          <w:tcPr>
            <w:tcW w:w="9123" w:type="dxa"/>
            <w:vAlign w:val="center"/>
          </w:tcPr>
          <w:p w:rsidR="006E39AC"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Have well documented site monitoring plans. (As appropriate, use statistical programs, in-house data monitoring and conference calls. Consider alternative methods to on-site monitoring such as webinars, electronic review of forms). </w:t>
            </w:r>
          </w:p>
        </w:tc>
        <w:tc>
          <w:tcPr>
            <w:tcW w:w="1620" w:type="dxa"/>
            <w:vAlign w:val="center"/>
          </w:tcPr>
          <w:p w:rsidR="006E39AC" w:rsidRPr="006609D8" w:rsidRDefault="006E39AC" w:rsidP="00156D7C">
            <w:pPr>
              <w:spacing w:before="60" w:after="60"/>
              <w:jc w:val="center"/>
              <w:rPr>
                <w:rFonts w:cs="Arial"/>
                <w:sz w:val="18"/>
              </w:rPr>
            </w:pPr>
            <w:r w:rsidRPr="006609D8">
              <w:rPr>
                <w:rFonts w:cs="Arial"/>
                <w:sz w:val="32"/>
                <w:szCs w:val="32"/>
              </w:rPr>
              <w:t>□</w:t>
            </w:r>
          </w:p>
        </w:tc>
      </w:tr>
      <w:tr w:rsidR="006E39AC" w:rsidRPr="006609D8" w:rsidTr="009C3C93">
        <w:tc>
          <w:tcPr>
            <w:tcW w:w="417" w:type="dxa"/>
            <w:vAlign w:val="center"/>
          </w:tcPr>
          <w:p w:rsidR="006E39AC" w:rsidRPr="006609D8" w:rsidRDefault="004931B3" w:rsidP="0088426D">
            <w:pPr>
              <w:spacing w:before="60" w:after="60"/>
              <w:jc w:val="center"/>
              <w:rPr>
                <w:rFonts w:cs="Arial"/>
                <w:b/>
                <w:color w:val="003366"/>
                <w:sz w:val="18"/>
              </w:rPr>
            </w:pPr>
            <w:r>
              <w:rPr>
                <w:rFonts w:cs="Arial"/>
                <w:b/>
                <w:color w:val="003366"/>
                <w:sz w:val="18"/>
              </w:rPr>
              <w:t>6</w:t>
            </w:r>
          </w:p>
        </w:tc>
        <w:tc>
          <w:tcPr>
            <w:tcW w:w="9123" w:type="dxa"/>
            <w:vAlign w:val="center"/>
          </w:tcPr>
          <w:p w:rsidR="006E39AC"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Establish assessment tools, with study leadership, to evaluate the DCC and the clinical sites. </w:t>
            </w:r>
          </w:p>
        </w:tc>
        <w:tc>
          <w:tcPr>
            <w:tcW w:w="1620" w:type="dxa"/>
            <w:vAlign w:val="center"/>
          </w:tcPr>
          <w:p w:rsidR="006E39AC" w:rsidRPr="006609D8" w:rsidRDefault="006E39AC" w:rsidP="00156D7C">
            <w:pPr>
              <w:spacing w:before="60" w:after="60"/>
              <w:jc w:val="center"/>
              <w:rPr>
                <w:rFonts w:cs="Arial"/>
                <w:sz w:val="18"/>
              </w:rPr>
            </w:pPr>
            <w:r w:rsidRPr="006609D8">
              <w:rPr>
                <w:rFonts w:cs="Arial"/>
                <w:sz w:val="32"/>
                <w:szCs w:val="32"/>
              </w:rPr>
              <w:t>□</w:t>
            </w:r>
          </w:p>
        </w:tc>
      </w:tr>
      <w:tr w:rsidR="006E39AC" w:rsidRPr="006609D8" w:rsidTr="00866018">
        <w:tc>
          <w:tcPr>
            <w:tcW w:w="417" w:type="dxa"/>
            <w:vAlign w:val="center"/>
          </w:tcPr>
          <w:p w:rsidR="006E39AC" w:rsidRPr="006609D8" w:rsidRDefault="004931B3" w:rsidP="0088426D">
            <w:pPr>
              <w:spacing w:before="60" w:after="60"/>
              <w:jc w:val="center"/>
              <w:rPr>
                <w:rFonts w:cs="Arial"/>
                <w:b/>
                <w:color w:val="003366"/>
                <w:sz w:val="18"/>
              </w:rPr>
            </w:pPr>
            <w:r>
              <w:rPr>
                <w:rFonts w:cs="Arial"/>
                <w:b/>
                <w:color w:val="003366"/>
                <w:sz w:val="18"/>
              </w:rPr>
              <w:t>7</w:t>
            </w:r>
          </w:p>
        </w:tc>
        <w:tc>
          <w:tcPr>
            <w:tcW w:w="9123" w:type="dxa"/>
            <w:vAlign w:val="center"/>
          </w:tcPr>
          <w:p w:rsidR="006E39AC"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Identify metrics for clinic evaluations (e.g. protocol deviations/violations, late forms, recruitment rates, missing data, data entry accuracy etc.). </w:t>
            </w:r>
          </w:p>
        </w:tc>
        <w:tc>
          <w:tcPr>
            <w:tcW w:w="1620" w:type="dxa"/>
            <w:vAlign w:val="center"/>
          </w:tcPr>
          <w:p w:rsidR="006E39AC" w:rsidRPr="006609D8" w:rsidRDefault="006E39AC" w:rsidP="00156D7C">
            <w:pPr>
              <w:spacing w:before="60" w:after="60"/>
              <w:jc w:val="center"/>
              <w:rPr>
                <w:rFonts w:cs="Arial"/>
                <w:sz w:val="18"/>
              </w:rPr>
            </w:pPr>
            <w:r w:rsidRPr="006609D8">
              <w:rPr>
                <w:rFonts w:cs="Arial"/>
                <w:sz w:val="32"/>
                <w:szCs w:val="32"/>
              </w:rPr>
              <w:t>□</w:t>
            </w:r>
          </w:p>
        </w:tc>
      </w:tr>
      <w:tr w:rsidR="004931B3" w:rsidRPr="006609D8" w:rsidTr="00866018">
        <w:tc>
          <w:tcPr>
            <w:tcW w:w="417" w:type="dxa"/>
            <w:vAlign w:val="center"/>
          </w:tcPr>
          <w:p w:rsidR="004931B3" w:rsidRPr="006609D8" w:rsidRDefault="004931B3" w:rsidP="0088426D">
            <w:pPr>
              <w:spacing w:before="60" w:after="60"/>
              <w:jc w:val="center"/>
              <w:rPr>
                <w:rFonts w:cs="Arial"/>
                <w:b/>
                <w:color w:val="003366"/>
                <w:sz w:val="18"/>
              </w:rPr>
            </w:pPr>
            <w:r>
              <w:rPr>
                <w:rFonts w:cs="Arial"/>
                <w:b/>
                <w:color w:val="003366"/>
                <w:sz w:val="18"/>
              </w:rPr>
              <w:t>8</w:t>
            </w:r>
          </w:p>
        </w:tc>
        <w:tc>
          <w:tcPr>
            <w:tcW w:w="9123" w:type="dxa"/>
            <w:vAlign w:val="center"/>
          </w:tcPr>
          <w:p w:rsidR="004931B3"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Provide plans to validate statistical programming which will ensure reproducibility and accuracy of results. </w:t>
            </w:r>
          </w:p>
        </w:tc>
        <w:tc>
          <w:tcPr>
            <w:tcW w:w="1620" w:type="dxa"/>
            <w:vAlign w:val="center"/>
          </w:tcPr>
          <w:p w:rsidR="004931B3" w:rsidRPr="006609D8" w:rsidRDefault="004931B3" w:rsidP="00156D7C">
            <w:pPr>
              <w:spacing w:before="60" w:after="60"/>
              <w:jc w:val="center"/>
              <w:rPr>
                <w:rFonts w:cs="Arial"/>
                <w:sz w:val="32"/>
                <w:szCs w:val="32"/>
              </w:rPr>
            </w:pPr>
            <w:r w:rsidRPr="006609D8">
              <w:rPr>
                <w:rFonts w:cs="Arial"/>
                <w:sz w:val="32"/>
                <w:szCs w:val="32"/>
              </w:rPr>
              <w:t>□</w:t>
            </w:r>
          </w:p>
        </w:tc>
      </w:tr>
      <w:tr w:rsidR="004931B3" w:rsidRPr="006609D8" w:rsidTr="00866018">
        <w:tc>
          <w:tcPr>
            <w:tcW w:w="417" w:type="dxa"/>
            <w:vAlign w:val="center"/>
          </w:tcPr>
          <w:p w:rsidR="004931B3" w:rsidRPr="006609D8" w:rsidRDefault="004931B3" w:rsidP="0088426D">
            <w:pPr>
              <w:spacing w:before="60" w:after="60"/>
              <w:jc w:val="center"/>
              <w:rPr>
                <w:rFonts w:cs="Arial"/>
                <w:b/>
                <w:color w:val="003366"/>
                <w:sz w:val="18"/>
              </w:rPr>
            </w:pPr>
            <w:r>
              <w:rPr>
                <w:rFonts w:cs="Arial"/>
                <w:b/>
                <w:color w:val="003366"/>
                <w:sz w:val="18"/>
              </w:rPr>
              <w:lastRenderedPageBreak/>
              <w:t>9</w:t>
            </w:r>
          </w:p>
        </w:tc>
        <w:tc>
          <w:tcPr>
            <w:tcW w:w="9123" w:type="dxa"/>
            <w:vAlign w:val="center"/>
          </w:tcPr>
          <w:p w:rsidR="004931B3" w:rsidRPr="004931B3" w:rsidRDefault="004931B3" w:rsidP="004931B3">
            <w:pPr>
              <w:widowControl/>
              <w:overflowPunct/>
              <w:autoSpaceDE/>
              <w:autoSpaceDN/>
              <w:adjustRightInd/>
              <w:spacing w:before="100" w:beforeAutospacing="1" w:after="100" w:afterAutospacing="1"/>
              <w:textAlignment w:val="auto"/>
              <w:rPr>
                <w:rFonts w:ascii="Times New Roman" w:hAnsi="Times New Roman"/>
                <w:sz w:val="24"/>
                <w:szCs w:val="24"/>
              </w:rPr>
            </w:pPr>
            <w:r w:rsidRPr="004931B3">
              <w:rPr>
                <w:rFonts w:ascii="Times New Roman" w:hAnsi="Times New Roman"/>
                <w:sz w:val="24"/>
                <w:szCs w:val="24"/>
              </w:rPr>
              <w:t xml:space="preserve">Develop and implement a </w:t>
            </w:r>
            <w:proofErr w:type="spellStart"/>
            <w:r w:rsidRPr="004931B3">
              <w:rPr>
                <w:rFonts w:ascii="Times New Roman" w:hAnsi="Times New Roman"/>
                <w:sz w:val="24"/>
                <w:szCs w:val="24"/>
              </w:rPr>
              <w:t>biospecimen</w:t>
            </w:r>
            <w:proofErr w:type="spellEnd"/>
            <w:r w:rsidRPr="004931B3">
              <w:rPr>
                <w:rFonts w:ascii="Times New Roman" w:hAnsi="Times New Roman"/>
                <w:sz w:val="24"/>
                <w:szCs w:val="24"/>
              </w:rPr>
              <w:t xml:space="preserve"> QA/QC program for central laboratories and/or </w:t>
            </w:r>
            <w:proofErr w:type="spellStart"/>
            <w:r w:rsidRPr="004931B3">
              <w:rPr>
                <w:rFonts w:ascii="Times New Roman" w:hAnsi="Times New Roman"/>
                <w:sz w:val="24"/>
                <w:szCs w:val="24"/>
              </w:rPr>
              <w:t>biorepositories</w:t>
            </w:r>
            <w:proofErr w:type="spellEnd"/>
            <w:r w:rsidRPr="004931B3">
              <w:rPr>
                <w:rFonts w:ascii="Times New Roman" w:hAnsi="Times New Roman"/>
                <w:sz w:val="24"/>
                <w:szCs w:val="24"/>
              </w:rPr>
              <w:t xml:space="preserve">. </w:t>
            </w:r>
          </w:p>
        </w:tc>
        <w:tc>
          <w:tcPr>
            <w:tcW w:w="1620" w:type="dxa"/>
            <w:vAlign w:val="center"/>
          </w:tcPr>
          <w:p w:rsidR="004931B3" w:rsidRPr="006609D8" w:rsidRDefault="004931B3" w:rsidP="00156D7C">
            <w:pPr>
              <w:spacing w:before="60" w:after="60"/>
              <w:jc w:val="center"/>
              <w:rPr>
                <w:rFonts w:cs="Arial"/>
                <w:sz w:val="32"/>
                <w:szCs w:val="32"/>
              </w:rPr>
            </w:pPr>
            <w:r w:rsidRPr="006609D8">
              <w:rPr>
                <w:rFonts w:cs="Arial"/>
                <w:sz w:val="32"/>
                <w:szCs w:val="32"/>
              </w:rPr>
              <w:t>□</w:t>
            </w:r>
          </w:p>
        </w:tc>
      </w:tr>
      <w:tr w:rsidR="004931B3" w:rsidRPr="006609D8" w:rsidTr="00E511AE">
        <w:trPr>
          <w:trHeight w:val="584"/>
        </w:trPr>
        <w:tc>
          <w:tcPr>
            <w:tcW w:w="11160" w:type="dxa"/>
            <w:gridSpan w:val="3"/>
            <w:vAlign w:val="center"/>
          </w:tcPr>
          <w:p w:rsidR="004931B3" w:rsidRPr="004931B3" w:rsidRDefault="004931B3" w:rsidP="004931B3">
            <w:pPr>
              <w:spacing w:after="60"/>
              <w:rPr>
                <w:rFonts w:cs="Arial"/>
                <w:b/>
                <w:color w:val="4F81BD" w:themeColor="accent1"/>
              </w:rPr>
            </w:pPr>
            <w:r w:rsidRPr="004931B3">
              <w:rPr>
                <w:rFonts w:cs="Arial"/>
                <w:b/>
                <w:color w:val="4F81BD" w:themeColor="accent1"/>
                <w:sz w:val="22"/>
                <w:szCs w:val="22"/>
              </w:rPr>
              <w:t>B. Quality Control</w:t>
            </w:r>
            <w:r>
              <w:rPr>
                <w:rFonts w:cs="Arial"/>
                <w:b/>
                <w:color w:val="4F81BD" w:themeColor="accent1"/>
                <w:sz w:val="22"/>
                <w:szCs w:val="22"/>
              </w:rPr>
              <w:t xml:space="preserve"> (QC</w:t>
            </w:r>
            <w:r w:rsidRPr="004931B3">
              <w:rPr>
                <w:rFonts w:cs="Arial"/>
                <w:b/>
                <w:color w:val="4F81BD" w:themeColor="accent1"/>
                <w:sz w:val="22"/>
                <w:szCs w:val="22"/>
              </w:rPr>
              <w:t>)</w:t>
            </w:r>
          </w:p>
        </w:tc>
      </w:tr>
      <w:tr w:rsidR="006E39AC" w:rsidRPr="006609D8" w:rsidTr="004958DC">
        <w:tc>
          <w:tcPr>
            <w:tcW w:w="417" w:type="dxa"/>
            <w:vAlign w:val="center"/>
          </w:tcPr>
          <w:p w:rsidR="006E39AC" w:rsidRPr="006609D8" w:rsidRDefault="00FA083C" w:rsidP="0088426D">
            <w:pPr>
              <w:spacing w:before="60" w:after="60"/>
              <w:jc w:val="center"/>
              <w:rPr>
                <w:rFonts w:cs="Arial"/>
                <w:b/>
                <w:color w:val="003366"/>
                <w:sz w:val="18"/>
              </w:rPr>
            </w:pPr>
            <w:r>
              <w:rPr>
                <w:rFonts w:cs="Arial"/>
                <w:b/>
                <w:color w:val="003366"/>
                <w:sz w:val="18"/>
              </w:rPr>
              <w:t>1</w:t>
            </w:r>
          </w:p>
        </w:tc>
        <w:tc>
          <w:tcPr>
            <w:tcW w:w="9123" w:type="dxa"/>
            <w:vAlign w:val="center"/>
          </w:tcPr>
          <w:p w:rsidR="006E39AC"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Identify lead QC staff. </w:t>
            </w:r>
          </w:p>
        </w:tc>
        <w:tc>
          <w:tcPr>
            <w:tcW w:w="1620" w:type="dxa"/>
          </w:tcPr>
          <w:p w:rsidR="006E39AC" w:rsidRPr="006609D8" w:rsidRDefault="006E39AC" w:rsidP="0013594E">
            <w:pPr>
              <w:spacing w:before="60" w:after="60"/>
              <w:jc w:val="center"/>
              <w:rPr>
                <w:rFonts w:cs="Arial"/>
                <w:sz w:val="18"/>
              </w:rPr>
            </w:pPr>
            <w:r w:rsidRPr="006609D8">
              <w:rPr>
                <w:rFonts w:cs="Arial"/>
                <w:sz w:val="32"/>
                <w:szCs w:val="32"/>
              </w:rPr>
              <w:t>□</w:t>
            </w:r>
          </w:p>
        </w:tc>
      </w:tr>
      <w:tr w:rsidR="006E39AC" w:rsidRPr="006609D8" w:rsidTr="00C602C6">
        <w:tc>
          <w:tcPr>
            <w:tcW w:w="417" w:type="dxa"/>
            <w:vAlign w:val="center"/>
          </w:tcPr>
          <w:p w:rsidR="006E39AC" w:rsidRDefault="00FA083C" w:rsidP="0088426D">
            <w:pPr>
              <w:spacing w:before="60" w:after="60"/>
              <w:jc w:val="center"/>
              <w:rPr>
                <w:rFonts w:cs="Arial"/>
                <w:b/>
                <w:color w:val="003366"/>
                <w:sz w:val="18"/>
              </w:rPr>
            </w:pPr>
            <w:r>
              <w:rPr>
                <w:rFonts w:cs="Arial"/>
                <w:b/>
                <w:color w:val="003366"/>
                <w:sz w:val="18"/>
              </w:rPr>
              <w:t>2</w:t>
            </w:r>
          </w:p>
        </w:tc>
        <w:tc>
          <w:tcPr>
            <w:tcW w:w="9123" w:type="dxa"/>
            <w:vAlign w:val="center"/>
          </w:tcPr>
          <w:p w:rsidR="006E39AC"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Maintain QC procedures and schedules. </w:t>
            </w:r>
          </w:p>
        </w:tc>
        <w:tc>
          <w:tcPr>
            <w:tcW w:w="1620" w:type="dxa"/>
          </w:tcPr>
          <w:p w:rsidR="006E39AC" w:rsidRPr="006609D8" w:rsidRDefault="006E39AC" w:rsidP="0013594E">
            <w:pPr>
              <w:spacing w:before="60" w:after="60"/>
              <w:jc w:val="center"/>
              <w:rPr>
                <w:rFonts w:cs="Arial"/>
                <w:sz w:val="18"/>
              </w:rPr>
            </w:pPr>
            <w:r w:rsidRPr="006609D8">
              <w:rPr>
                <w:rFonts w:cs="Arial"/>
                <w:sz w:val="32"/>
                <w:szCs w:val="32"/>
              </w:rPr>
              <w:t>□</w:t>
            </w:r>
          </w:p>
        </w:tc>
      </w:tr>
      <w:tr w:rsidR="006E39AC" w:rsidRPr="006609D8" w:rsidTr="007F2782">
        <w:trPr>
          <w:trHeight w:val="638"/>
        </w:trPr>
        <w:tc>
          <w:tcPr>
            <w:tcW w:w="417" w:type="dxa"/>
            <w:vAlign w:val="center"/>
          </w:tcPr>
          <w:p w:rsidR="006E39AC" w:rsidRPr="006609D8" w:rsidRDefault="00FA083C" w:rsidP="0088426D">
            <w:pPr>
              <w:spacing w:before="60" w:after="60"/>
              <w:jc w:val="center"/>
              <w:rPr>
                <w:rFonts w:cs="Arial"/>
                <w:b/>
                <w:color w:val="003366"/>
                <w:sz w:val="18"/>
              </w:rPr>
            </w:pPr>
            <w:r>
              <w:rPr>
                <w:rFonts w:cs="Arial"/>
                <w:b/>
                <w:color w:val="003366"/>
                <w:sz w:val="18"/>
              </w:rPr>
              <w:t>3</w:t>
            </w:r>
          </w:p>
        </w:tc>
        <w:tc>
          <w:tcPr>
            <w:tcW w:w="9123" w:type="dxa"/>
            <w:vAlign w:val="center"/>
          </w:tcPr>
          <w:p w:rsidR="006E39AC"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Provide QC reports in a timely manner. </w:t>
            </w:r>
          </w:p>
        </w:tc>
        <w:tc>
          <w:tcPr>
            <w:tcW w:w="1620" w:type="dxa"/>
          </w:tcPr>
          <w:p w:rsidR="006E39AC" w:rsidRPr="006609D8" w:rsidRDefault="006E39AC" w:rsidP="0013594E">
            <w:pPr>
              <w:spacing w:before="60" w:after="60"/>
              <w:jc w:val="center"/>
              <w:rPr>
                <w:rFonts w:cs="Arial"/>
                <w:sz w:val="18"/>
              </w:rPr>
            </w:pPr>
            <w:r w:rsidRPr="006609D8">
              <w:rPr>
                <w:rFonts w:cs="Arial"/>
                <w:sz w:val="32"/>
                <w:szCs w:val="32"/>
              </w:rPr>
              <w:t>□</w:t>
            </w:r>
          </w:p>
        </w:tc>
      </w:tr>
      <w:tr w:rsidR="004931B3" w:rsidRPr="006609D8" w:rsidTr="007F2782">
        <w:trPr>
          <w:trHeight w:val="638"/>
        </w:trPr>
        <w:tc>
          <w:tcPr>
            <w:tcW w:w="417" w:type="dxa"/>
            <w:vAlign w:val="center"/>
          </w:tcPr>
          <w:p w:rsidR="004931B3" w:rsidRPr="006609D8" w:rsidRDefault="00FA083C" w:rsidP="0088426D">
            <w:pPr>
              <w:spacing w:before="60" w:after="60"/>
              <w:jc w:val="center"/>
              <w:rPr>
                <w:rFonts w:cs="Arial"/>
                <w:b/>
                <w:color w:val="003366"/>
                <w:sz w:val="18"/>
              </w:rPr>
            </w:pPr>
            <w:r>
              <w:rPr>
                <w:rFonts w:cs="Arial"/>
                <w:b/>
                <w:color w:val="003366"/>
                <w:sz w:val="18"/>
              </w:rPr>
              <w:t>4</w:t>
            </w:r>
          </w:p>
        </w:tc>
        <w:tc>
          <w:tcPr>
            <w:tcW w:w="9123" w:type="dxa"/>
            <w:vAlign w:val="center"/>
          </w:tcPr>
          <w:p w:rsidR="004931B3"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Outline a plan for testing key protocol processes and procedures (simulating study visits, forms completion with sham data etc.). </w:t>
            </w:r>
          </w:p>
        </w:tc>
        <w:tc>
          <w:tcPr>
            <w:tcW w:w="1620" w:type="dxa"/>
          </w:tcPr>
          <w:p w:rsidR="004931B3" w:rsidRPr="006609D8" w:rsidRDefault="004931B3" w:rsidP="00C3690C">
            <w:pPr>
              <w:spacing w:before="60" w:after="60"/>
              <w:jc w:val="center"/>
              <w:rPr>
                <w:rFonts w:cs="Arial"/>
                <w:sz w:val="18"/>
              </w:rPr>
            </w:pPr>
            <w:r w:rsidRPr="006609D8">
              <w:rPr>
                <w:rFonts w:cs="Arial"/>
                <w:sz w:val="32"/>
                <w:szCs w:val="32"/>
              </w:rPr>
              <w:t>□</w:t>
            </w:r>
          </w:p>
        </w:tc>
      </w:tr>
      <w:tr w:rsidR="004931B3" w:rsidRPr="006609D8" w:rsidTr="007F2782">
        <w:trPr>
          <w:trHeight w:val="638"/>
        </w:trPr>
        <w:tc>
          <w:tcPr>
            <w:tcW w:w="417" w:type="dxa"/>
            <w:vAlign w:val="center"/>
          </w:tcPr>
          <w:p w:rsidR="004931B3" w:rsidRPr="006609D8" w:rsidRDefault="00FA083C" w:rsidP="0088426D">
            <w:pPr>
              <w:spacing w:before="60" w:after="60"/>
              <w:jc w:val="center"/>
              <w:rPr>
                <w:rFonts w:cs="Arial"/>
                <w:b/>
                <w:color w:val="003366"/>
                <w:sz w:val="18"/>
              </w:rPr>
            </w:pPr>
            <w:r>
              <w:rPr>
                <w:rFonts w:cs="Arial"/>
                <w:b/>
                <w:color w:val="003366"/>
                <w:sz w:val="18"/>
              </w:rPr>
              <w:t>5</w:t>
            </w:r>
          </w:p>
        </w:tc>
        <w:tc>
          <w:tcPr>
            <w:tcW w:w="9123" w:type="dxa"/>
            <w:vAlign w:val="center"/>
          </w:tcPr>
          <w:p w:rsidR="004931B3" w:rsidRPr="004931B3" w:rsidRDefault="004931B3" w:rsidP="00FA083C">
            <w:pPr>
              <w:rPr>
                <w:rFonts w:ascii="Times New Roman" w:hAnsi="Times New Roman"/>
                <w:sz w:val="24"/>
                <w:szCs w:val="24"/>
              </w:rPr>
            </w:pPr>
            <w:r w:rsidRPr="004931B3">
              <w:rPr>
                <w:rFonts w:ascii="Times New Roman" w:hAnsi="Times New Roman"/>
                <w:sz w:val="24"/>
                <w:szCs w:val="24"/>
              </w:rPr>
              <w:t>Have processes documented for establishing and reviewing DCC Standard Operating Procedures, checklists and tools.</w:t>
            </w:r>
          </w:p>
        </w:tc>
        <w:tc>
          <w:tcPr>
            <w:tcW w:w="1620" w:type="dxa"/>
          </w:tcPr>
          <w:p w:rsidR="004931B3" w:rsidRPr="006609D8" w:rsidRDefault="004931B3" w:rsidP="00C3690C">
            <w:pPr>
              <w:spacing w:before="60" w:after="60"/>
              <w:jc w:val="center"/>
              <w:rPr>
                <w:rFonts w:cs="Arial"/>
                <w:sz w:val="18"/>
              </w:rPr>
            </w:pPr>
            <w:r w:rsidRPr="006609D8">
              <w:rPr>
                <w:rFonts w:cs="Arial"/>
                <w:sz w:val="32"/>
                <w:szCs w:val="32"/>
              </w:rPr>
              <w:t>□</w:t>
            </w:r>
          </w:p>
        </w:tc>
      </w:tr>
      <w:tr w:rsidR="004931B3" w:rsidRPr="006609D8" w:rsidTr="007F2782">
        <w:trPr>
          <w:trHeight w:val="638"/>
        </w:trPr>
        <w:tc>
          <w:tcPr>
            <w:tcW w:w="417" w:type="dxa"/>
            <w:vAlign w:val="center"/>
          </w:tcPr>
          <w:p w:rsidR="004931B3" w:rsidRPr="006609D8" w:rsidRDefault="00FA083C" w:rsidP="0088426D">
            <w:pPr>
              <w:spacing w:before="60" w:after="60"/>
              <w:jc w:val="center"/>
              <w:rPr>
                <w:rFonts w:cs="Arial"/>
                <w:b/>
                <w:color w:val="003366"/>
                <w:sz w:val="18"/>
              </w:rPr>
            </w:pPr>
            <w:r>
              <w:rPr>
                <w:rFonts w:cs="Arial"/>
                <w:b/>
                <w:color w:val="003366"/>
                <w:sz w:val="18"/>
              </w:rPr>
              <w:t>6</w:t>
            </w:r>
          </w:p>
        </w:tc>
        <w:tc>
          <w:tcPr>
            <w:tcW w:w="9123" w:type="dxa"/>
            <w:vAlign w:val="center"/>
          </w:tcPr>
          <w:p w:rsidR="004931B3"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Address and document responses and corrections to identified problems. </w:t>
            </w:r>
          </w:p>
        </w:tc>
        <w:tc>
          <w:tcPr>
            <w:tcW w:w="1620" w:type="dxa"/>
          </w:tcPr>
          <w:p w:rsidR="004931B3" w:rsidRPr="006609D8" w:rsidRDefault="004931B3" w:rsidP="00C3690C">
            <w:pPr>
              <w:spacing w:before="60" w:after="60"/>
              <w:jc w:val="center"/>
              <w:rPr>
                <w:rFonts w:cs="Arial"/>
                <w:sz w:val="18"/>
              </w:rPr>
            </w:pPr>
            <w:r w:rsidRPr="006609D8">
              <w:rPr>
                <w:rFonts w:cs="Arial"/>
                <w:sz w:val="32"/>
                <w:szCs w:val="32"/>
              </w:rPr>
              <w:t>□</w:t>
            </w:r>
          </w:p>
        </w:tc>
      </w:tr>
      <w:tr w:rsidR="004931B3" w:rsidRPr="006609D8" w:rsidTr="007F2782">
        <w:trPr>
          <w:trHeight w:val="638"/>
        </w:trPr>
        <w:tc>
          <w:tcPr>
            <w:tcW w:w="417" w:type="dxa"/>
            <w:vAlign w:val="center"/>
          </w:tcPr>
          <w:p w:rsidR="004931B3" w:rsidRPr="006609D8" w:rsidRDefault="00FA083C" w:rsidP="0088426D">
            <w:pPr>
              <w:spacing w:before="60" w:after="60"/>
              <w:jc w:val="center"/>
              <w:rPr>
                <w:rFonts w:cs="Arial"/>
                <w:b/>
                <w:color w:val="003366"/>
                <w:sz w:val="18"/>
              </w:rPr>
            </w:pPr>
            <w:r>
              <w:rPr>
                <w:rFonts w:cs="Arial"/>
                <w:b/>
                <w:color w:val="003366"/>
                <w:sz w:val="18"/>
              </w:rPr>
              <w:t>7</w:t>
            </w:r>
          </w:p>
        </w:tc>
        <w:tc>
          <w:tcPr>
            <w:tcW w:w="9123" w:type="dxa"/>
            <w:vAlign w:val="center"/>
          </w:tcPr>
          <w:p w:rsidR="004931B3"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Document and follow procedures for identifying and correcting possible data errors. </w:t>
            </w:r>
          </w:p>
        </w:tc>
        <w:tc>
          <w:tcPr>
            <w:tcW w:w="1620" w:type="dxa"/>
          </w:tcPr>
          <w:p w:rsidR="004931B3" w:rsidRPr="006609D8" w:rsidRDefault="004931B3" w:rsidP="00C3690C">
            <w:pPr>
              <w:spacing w:before="60" w:after="60"/>
              <w:jc w:val="center"/>
              <w:rPr>
                <w:rFonts w:cs="Arial"/>
                <w:sz w:val="18"/>
              </w:rPr>
            </w:pPr>
            <w:r w:rsidRPr="006609D8">
              <w:rPr>
                <w:rFonts w:cs="Arial"/>
                <w:sz w:val="32"/>
                <w:szCs w:val="32"/>
              </w:rPr>
              <w:t>□</w:t>
            </w:r>
          </w:p>
        </w:tc>
      </w:tr>
      <w:tr w:rsidR="004931B3" w:rsidRPr="006609D8" w:rsidTr="007F2782">
        <w:trPr>
          <w:trHeight w:val="638"/>
        </w:trPr>
        <w:tc>
          <w:tcPr>
            <w:tcW w:w="417" w:type="dxa"/>
            <w:vAlign w:val="center"/>
          </w:tcPr>
          <w:p w:rsidR="004931B3" w:rsidRPr="006609D8" w:rsidRDefault="00FA083C" w:rsidP="0088426D">
            <w:pPr>
              <w:spacing w:before="60" w:after="60"/>
              <w:jc w:val="center"/>
              <w:rPr>
                <w:rFonts w:cs="Arial"/>
                <w:b/>
                <w:color w:val="003366"/>
                <w:sz w:val="18"/>
              </w:rPr>
            </w:pPr>
            <w:r>
              <w:rPr>
                <w:rFonts w:cs="Arial"/>
                <w:b/>
                <w:color w:val="003366"/>
                <w:sz w:val="18"/>
              </w:rPr>
              <w:t>8</w:t>
            </w:r>
          </w:p>
        </w:tc>
        <w:tc>
          <w:tcPr>
            <w:tcW w:w="9123" w:type="dxa"/>
            <w:vAlign w:val="center"/>
          </w:tcPr>
          <w:p w:rsidR="004931B3"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Document and follow procedures for quantifying measurement errors in key variables. </w:t>
            </w:r>
          </w:p>
        </w:tc>
        <w:tc>
          <w:tcPr>
            <w:tcW w:w="1620" w:type="dxa"/>
          </w:tcPr>
          <w:p w:rsidR="004931B3" w:rsidRPr="006609D8" w:rsidRDefault="004931B3" w:rsidP="00C3690C">
            <w:pPr>
              <w:spacing w:before="60" w:after="60"/>
              <w:jc w:val="center"/>
              <w:rPr>
                <w:rFonts w:cs="Arial"/>
                <w:sz w:val="18"/>
              </w:rPr>
            </w:pPr>
            <w:r w:rsidRPr="006609D8">
              <w:rPr>
                <w:rFonts w:cs="Arial"/>
                <w:sz w:val="32"/>
                <w:szCs w:val="32"/>
              </w:rPr>
              <w:t>□</w:t>
            </w:r>
          </w:p>
        </w:tc>
      </w:tr>
      <w:tr w:rsidR="004931B3" w:rsidRPr="006609D8" w:rsidTr="007F2782">
        <w:trPr>
          <w:trHeight w:val="638"/>
        </w:trPr>
        <w:tc>
          <w:tcPr>
            <w:tcW w:w="417" w:type="dxa"/>
            <w:vAlign w:val="center"/>
          </w:tcPr>
          <w:p w:rsidR="004931B3" w:rsidRPr="006609D8" w:rsidRDefault="00FA083C" w:rsidP="0088426D">
            <w:pPr>
              <w:spacing w:before="60" w:after="60"/>
              <w:jc w:val="center"/>
              <w:rPr>
                <w:rFonts w:cs="Arial"/>
                <w:b/>
                <w:color w:val="003366"/>
                <w:sz w:val="18"/>
              </w:rPr>
            </w:pPr>
            <w:r>
              <w:rPr>
                <w:rFonts w:cs="Arial"/>
                <w:b/>
                <w:color w:val="003366"/>
                <w:sz w:val="18"/>
              </w:rPr>
              <w:t>9</w:t>
            </w:r>
          </w:p>
        </w:tc>
        <w:tc>
          <w:tcPr>
            <w:tcW w:w="9123" w:type="dxa"/>
            <w:vAlign w:val="center"/>
          </w:tcPr>
          <w:p w:rsidR="004931B3"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Document and follow procedures for handling protocol deviations/violations. Evaluate the QC program regularly, making adjustments as needed based on feedback from the clinical sites and monitors. </w:t>
            </w:r>
          </w:p>
        </w:tc>
        <w:tc>
          <w:tcPr>
            <w:tcW w:w="1620" w:type="dxa"/>
          </w:tcPr>
          <w:p w:rsidR="004931B3" w:rsidRPr="006609D8" w:rsidRDefault="004931B3" w:rsidP="00C3690C">
            <w:pPr>
              <w:spacing w:before="60" w:after="60"/>
              <w:jc w:val="center"/>
              <w:rPr>
                <w:rFonts w:cs="Arial"/>
                <w:sz w:val="18"/>
              </w:rPr>
            </w:pPr>
            <w:r w:rsidRPr="006609D8">
              <w:rPr>
                <w:rFonts w:cs="Arial"/>
                <w:sz w:val="32"/>
                <w:szCs w:val="32"/>
              </w:rPr>
              <w:t>□</w:t>
            </w:r>
          </w:p>
        </w:tc>
      </w:tr>
      <w:tr w:rsidR="004931B3" w:rsidRPr="006609D8" w:rsidTr="007F2782">
        <w:trPr>
          <w:trHeight w:val="638"/>
        </w:trPr>
        <w:tc>
          <w:tcPr>
            <w:tcW w:w="417" w:type="dxa"/>
            <w:vAlign w:val="center"/>
          </w:tcPr>
          <w:p w:rsidR="004931B3" w:rsidRPr="006609D8" w:rsidRDefault="00FA083C" w:rsidP="0088426D">
            <w:pPr>
              <w:spacing w:before="60" w:after="60"/>
              <w:jc w:val="center"/>
              <w:rPr>
                <w:rFonts w:cs="Arial"/>
                <w:b/>
                <w:color w:val="003366"/>
                <w:sz w:val="18"/>
              </w:rPr>
            </w:pPr>
            <w:r>
              <w:rPr>
                <w:rFonts w:cs="Arial"/>
                <w:b/>
                <w:color w:val="003366"/>
                <w:sz w:val="18"/>
              </w:rPr>
              <w:t>10</w:t>
            </w:r>
          </w:p>
        </w:tc>
        <w:tc>
          <w:tcPr>
            <w:tcW w:w="9123" w:type="dxa"/>
            <w:vAlign w:val="center"/>
          </w:tcPr>
          <w:p w:rsidR="004931B3"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Introduce statistical monitoring to examine aggregate data and identify potential site variations. </w:t>
            </w:r>
          </w:p>
        </w:tc>
        <w:tc>
          <w:tcPr>
            <w:tcW w:w="1620" w:type="dxa"/>
          </w:tcPr>
          <w:p w:rsidR="004931B3" w:rsidRPr="006609D8" w:rsidRDefault="004931B3" w:rsidP="00C3690C">
            <w:pPr>
              <w:spacing w:before="60" w:after="60"/>
              <w:jc w:val="center"/>
              <w:rPr>
                <w:rFonts w:cs="Arial"/>
                <w:sz w:val="18"/>
              </w:rPr>
            </w:pPr>
            <w:r w:rsidRPr="006609D8">
              <w:rPr>
                <w:rFonts w:cs="Arial"/>
                <w:sz w:val="32"/>
                <w:szCs w:val="32"/>
              </w:rPr>
              <w:t>□</w:t>
            </w:r>
          </w:p>
        </w:tc>
      </w:tr>
      <w:tr w:rsidR="004931B3" w:rsidRPr="006609D8" w:rsidTr="00FA083C">
        <w:trPr>
          <w:trHeight w:val="638"/>
        </w:trPr>
        <w:tc>
          <w:tcPr>
            <w:tcW w:w="417" w:type="dxa"/>
            <w:tcBorders>
              <w:bottom w:val="single" w:sz="4" w:space="0" w:color="auto"/>
            </w:tcBorders>
            <w:vAlign w:val="center"/>
          </w:tcPr>
          <w:p w:rsidR="004931B3" w:rsidRPr="006609D8" w:rsidRDefault="00FA083C" w:rsidP="0088426D">
            <w:pPr>
              <w:spacing w:before="60" w:after="60"/>
              <w:jc w:val="center"/>
              <w:rPr>
                <w:rFonts w:cs="Arial"/>
                <w:b/>
                <w:color w:val="003366"/>
                <w:sz w:val="18"/>
              </w:rPr>
            </w:pPr>
            <w:r>
              <w:rPr>
                <w:rFonts w:cs="Arial"/>
                <w:b/>
                <w:color w:val="003366"/>
                <w:sz w:val="18"/>
              </w:rPr>
              <w:t>11</w:t>
            </w:r>
          </w:p>
        </w:tc>
        <w:tc>
          <w:tcPr>
            <w:tcW w:w="9123" w:type="dxa"/>
            <w:tcBorders>
              <w:bottom w:val="single" w:sz="4" w:space="0" w:color="auto"/>
            </w:tcBorders>
            <w:vAlign w:val="center"/>
          </w:tcPr>
          <w:p w:rsidR="004931B3" w:rsidRPr="004931B3" w:rsidRDefault="004931B3" w:rsidP="00FA083C">
            <w:pPr>
              <w:widowControl/>
              <w:overflowPunct/>
              <w:autoSpaceDE/>
              <w:autoSpaceDN/>
              <w:adjustRightInd/>
              <w:textAlignment w:val="auto"/>
              <w:rPr>
                <w:rFonts w:ascii="Times New Roman" w:hAnsi="Times New Roman"/>
                <w:sz w:val="24"/>
                <w:szCs w:val="24"/>
              </w:rPr>
            </w:pPr>
            <w:r w:rsidRPr="004931B3">
              <w:rPr>
                <w:rFonts w:ascii="Times New Roman" w:hAnsi="Times New Roman"/>
                <w:sz w:val="24"/>
                <w:szCs w:val="24"/>
              </w:rPr>
              <w:t xml:space="preserve">Conduct process reviews during the study to ensure that the study is implemented appropriately at study sites and procedures at DCC are robust. </w:t>
            </w:r>
          </w:p>
        </w:tc>
        <w:tc>
          <w:tcPr>
            <w:tcW w:w="1620" w:type="dxa"/>
            <w:tcBorders>
              <w:bottom w:val="single" w:sz="4" w:space="0" w:color="auto"/>
            </w:tcBorders>
          </w:tcPr>
          <w:p w:rsidR="004931B3" w:rsidRPr="006609D8" w:rsidRDefault="004931B3" w:rsidP="00C3690C">
            <w:pPr>
              <w:spacing w:before="60" w:after="60"/>
              <w:jc w:val="center"/>
              <w:rPr>
                <w:rFonts w:cs="Arial"/>
                <w:sz w:val="18"/>
              </w:rPr>
            </w:pPr>
            <w:r w:rsidRPr="006609D8">
              <w:rPr>
                <w:rFonts w:cs="Arial"/>
                <w:sz w:val="32"/>
                <w:szCs w:val="32"/>
              </w:rPr>
              <w:t>□</w:t>
            </w:r>
          </w:p>
        </w:tc>
      </w:tr>
      <w:tr w:rsidR="00FA083C" w:rsidRPr="006609D8" w:rsidTr="008F1DD0">
        <w:trPr>
          <w:trHeight w:val="386"/>
        </w:trPr>
        <w:tc>
          <w:tcPr>
            <w:tcW w:w="9540" w:type="dxa"/>
            <w:gridSpan w:val="2"/>
            <w:shd w:val="clear" w:color="auto" w:fill="D9D9D9" w:themeFill="background1" w:themeFillShade="D9"/>
            <w:vAlign w:val="center"/>
          </w:tcPr>
          <w:p w:rsidR="00FA083C" w:rsidRPr="00FA083C" w:rsidRDefault="00FA083C" w:rsidP="00FA083C">
            <w:pPr>
              <w:pStyle w:val="Heading2"/>
              <w:jc w:val="center"/>
              <w:rPr>
                <w:color w:val="1F497D" w:themeColor="text2"/>
              </w:rPr>
            </w:pPr>
            <w:r w:rsidRPr="00FA083C">
              <w:rPr>
                <w:color w:val="1F497D" w:themeColor="text2"/>
              </w:rPr>
              <w:t>HUMAN SUBJECTS PROTECTION/REGULATORY AFFAIRS</w:t>
            </w:r>
          </w:p>
        </w:tc>
        <w:tc>
          <w:tcPr>
            <w:tcW w:w="1620" w:type="dxa"/>
            <w:shd w:val="clear" w:color="auto" w:fill="D9D9D9" w:themeFill="background1" w:themeFillShade="D9"/>
            <w:vAlign w:val="center"/>
          </w:tcPr>
          <w:p w:rsidR="00FA083C" w:rsidRPr="006609D8" w:rsidRDefault="00FA083C" w:rsidP="008F1DD0">
            <w:pPr>
              <w:pStyle w:val="ASGTableSubHead"/>
              <w:widowControl w:val="0"/>
              <w:overflowPunct w:val="0"/>
              <w:autoSpaceDE w:val="0"/>
              <w:autoSpaceDN w:val="0"/>
              <w:adjustRightInd w:val="0"/>
              <w:spacing w:before="60" w:after="60"/>
              <w:jc w:val="center"/>
              <w:textAlignment w:val="baseline"/>
              <w:rPr>
                <w:rFonts w:ascii="Arial" w:hAnsi="Arial" w:cs="Arial"/>
              </w:rPr>
            </w:pPr>
            <w:r>
              <w:rPr>
                <w:rFonts w:ascii="Arial" w:hAnsi="Arial" w:cs="Arial"/>
              </w:rPr>
              <w:t>Complete</w:t>
            </w:r>
          </w:p>
        </w:tc>
      </w:tr>
      <w:tr w:rsidR="00FA083C" w:rsidRPr="006609D8" w:rsidTr="00CF4ACD">
        <w:trPr>
          <w:trHeight w:val="638"/>
        </w:trPr>
        <w:tc>
          <w:tcPr>
            <w:tcW w:w="11160" w:type="dxa"/>
            <w:gridSpan w:val="3"/>
            <w:vAlign w:val="center"/>
          </w:tcPr>
          <w:p w:rsidR="00FA083C" w:rsidRPr="00FA083C" w:rsidRDefault="00FA083C" w:rsidP="00FA083C">
            <w:pPr>
              <w:pStyle w:val="Heading3"/>
              <w:rPr>
                <w:rFonts w:ascii="Arial" w:hAnsi="Arial" w:cs="Arial"/>
                <w:sz w:val="22"/>
                <w:szCs w:val="22"/>
              </w:rPr>
            </w:pPr>
            <w:r w:rsidRPr="00FA083C">
              <w:rPr>
                <w:rFonts w:ascii="Arial" w:hAnsi="Arial" w:cs="Arial"/>
                <w:sz w:val="22"/>
                <w:szCs w:val="22"/>
              </w:rPr>
              <w:t>A. Human Subject Protections</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1</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Have a system is in place to track the human subjects’ protection training of appropriate study staff. </w:t>
            </w:r>
          </w:p>
        </w:tc>
        <w:tc>
          <w:tcPr>
            <w:tcW w:w="1620" w:type="dxa"/>
          </w:tcPr>
          <w:p w:rsidR="00FA083C" w:rsidRPr="006609D8" w:rsidRDefault="00FA083C" w:rsidP="00C3690C">
            <w:pPr>
              <w:spacing w:before="60" w:after="60"/>
              <w:jc w:val="center"/>
              <w:rPr>
                <w:rFonts w:cs="Arial"/>
                <w:sz w:val="18"/>
              </w:rPr>
            </w:pPr>
            <w:r w:rsidRPr="006609D8">
              <w:rPr>
                <w:rFonts w:cs="Arial"/>
                <w:sz w:val="32"/>
                <w:szCs w:val="32"/>
              </w:rPr>
              <w:t>□</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2</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Collaborate with investigators to create and distribute the consent document template(s). </w:t>
            </w:r>
          </w:p>
        </w:tc>
        <w:tc>
          <w:tcPr>
            <w:tcW w:w="1620" w:type="dxa"/>
          </w:tcPr>
          <w:p w:rsidR="00FA083C" w:rsidRPr="006609D8" w:rsidRDefault="00FA083C" w:rsidP="00C3690C">
            <w:pPr>
              <w:spacing w:before="60" w:after="60"/>
              <w:jc w:val="center"/>
              <w:rPr>
                <w:rFonts w:cs="Arial"/>
                <w:sz w:val="18"/>
              </w:rPr>
            </w:pPr>
            <w:r w:rsidRPr="006609D8">
              <w:rPr>
                <w:rFonts w:cs="Arial"/>
                <w:sz w:val="32"/>
                <w:szCs w:val="32"/>
              </w:rPr>
              <w:t>□</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3</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Ensure that the IRB-approved informed consent forms at clinical sites have required elements and are factually correct (including back-translation of documents written in languages other than English). </w:t>
            </w:r>
          </w:p>
        </w:tc>
        <w:tc>
          <w:tcPr>
            <w:tcW w:w="1620" w:type="dxa"/>
          </w:tcPr>
          <w:p w:rsidR="00FA083C" w:rsidRPr="006609D8" w:rsidRDefault="00FA083C" w:rsidP="00C3690C">
            <w:pPr>
              <w:spacing w:before="60" w:after="60"/>
              <w:jc w:val="center"/>
              <w:rPr>
                <w:rFonts w:cs="Arial"/>
                <w:sz w:val="18"/>
              </w:rPr>
            </w:pPr>
            <w:r w:rsidRPr="006609D8">
              <w:rPr>
                <w:rFonts w:cs="Arial"/>
                <w:sz w:val="32"/>
                <w:szCs w:val="32"/>
              </w:rPr>
              <w:t>□</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4</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Review consent documents for signatures and use of the IRB date stamped form during site visits. </w:t>
            </w:r>
          </w:p>
        </w:tc>
        <w:tc>
          <w:tcPr>
            <w:tcW w:w="1620" w:type="dxa"/>
          </w:tcPr>
          <w:p w:rsidR="00FA083C" w:rsidRPr="006609D8" w:rsidRDefault="00FA083C" w:rsidP="00C3690C">
            <w:pPr>
              <w:spacing w:before="60" w:after="60"/>
              <w:jc w:val="center"/>
              <w:rPr>
                <w:rFonts w:cs="Arial"/>
                <w:sz w:val="18"/>
              </w:rPr>
            </w:pPr>
            <w:r w:rsidRPr="006609D8">
              <w:rPr>
                <w:rFonts w:cs="Arial"/>
                <w:sz w:val="32"/>
                <w:szCs w:val="32"/>
              </w:rPr>
              <w:t>□</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5</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Develop a well-defined reporting process for adverse events (AE) and unanticipated problems (as defined by OHRP) that is defined precisely and is in compliance with local IRB requirements, 21 CFR 312.32 for Investigational New Drugs (IND), 21 CFR 812.150 for Investigational Device Exemptions (IDE), and International Conference on </w:t>
            </w:r>
            <w:proofErr w:type="spellStart"/>
            <w:r w:rsidRPr="00FA083C">
              <w:rPr>
                <w:rFonts w:ascii="Times New Roman" w:hAnsi="Times New Roman"/>
                <w:sz w:val="24"/>
                <w:szCs w:val="24"/>
              </w:rPr>
              <w:t>Harmonisation</w:t>
            </w:r>
            <w:proofErr w:type="spellEnd"/>
            <w:r w:rsidRPr="00FA083C">
              <w:rPr>
                <w:rFonts w:ascii="Times New Roman" w:hAnsi="Times New Roman"/>
                <w:sz w:val="24"/>
                <w:szCs w:val="24"/>
              </w:rPr>
              <w:t xml:space="preserve"> Regulations E2A, as applicable. Implement a plan to report safety analyses and report AEs to the Data and Safety Monitoring Board (DSMB) in a format that highlights </w:t>
            </w:r>
            <w:r w:rsidRPr="00FA083C">
              <w:rPr>
                <w:rFonts w:ascii="Times New Roman" w:hAnsi="Times New Roman"/>
                <w:sz w:val="24"/>
                <w:szCs w:val="24"/>
              </w:rPr>
              <w:lastRenderedPageBreak/>
              <w:t xml:space="preserve">trends or signals. </w:t>
            </w:r>
          </w:p>
        </w:tc>
        <w:tc>
          <w:tcPr>
            <w:tcW w:w="1620" w:type="dxa"/>
          </w:tcPr>
          <w:p w:rsidR="00FA083C" w:rsidRPr="006609D8" w:rsidRDefault="00FA083C" w:rsidP="00C3690C">
            <w:pPr>
              <w:spacing w:before="60" w:after="60"/>
              <w:jc w:val="center"/>
              <w:rPr>
                <w:rFonts w:cs="Arial"/>
                <w:sz w:val="18"/>
              </w:rPr>
            </w:pPr>
            <w:r w:rsidRPr="006609D8">
              <w:rPr>
                <w:rFonts w:cs="Arial"/>
                <w:sz w:val="32"/>
                <w:szCs w:val="32"/>
              </w:rPr>
              <w:lastRenderedPageBreak/>
              <w:t>□</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lastRenderedPageBreak/>
              <w:t>6</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Support human subjects’ data and </w:t>
            </w:r>
            <w:proofErr w:type="spellStart"/>
            <w:r w:rsidRPr="00FA083C">
              <w:rPr>
                <w:rFonts w:ascii="Times New Roman" w:hAnsi="Times New Roman"/>
                <w:sz w:val="24"/>
                <w:szCs w:val="24"/>
              </w:rPr>
              <w:t>biospecimen</w:t>
            </w:r>
            <w:proofErr w:type="spellEnd"/>
            <w:r w:rsidRPr="00FA083C">
              <w:rPr>
                <w:rFonts w:ascii="Times New Roman" w:hAnsi="Times New Roman"/>
                <w:sz w:val="24"/>
                <w:szCs w:val="24"/>
              </w:rPr>
              <w:t xml:space="preserve"> repository and regulatory activities, as appropriate. For programs collecting, processing, assaying, storing or distributing </w:t>
            </w:r>
            <w:proofErr w:type="spellStart"/>
            <w:r w:rsidRPr="00FA083C">
              <w:rPr>
                <w:rFonts w:ascii="Times New Roman" w:hAnsi="Times New Roman"/>
                <w:sz w:val="24"/>
                <w:szCs w:val="24"/>
              </w:rPr>
              <w:t>biospecimens</w:t>
            </w:r>
            <w:proofErr w:type="spellEnd"/>
            <w:r w:rsidRPr="00FA083C">
              <w:rPr>
                <w:rFonts w:ascii="Times New Roman" w:hAnsi="Times New Roman"/>
                <w:sz w:val="24"/>
                <w:szCs w:val="24"/>
              </w:rPr>
              <w:t xml:space="preserve">, ensure that systems are in place to maintain subject confidentiality and to track subject informed consent. </w:t>
            </w:r>
          </w:p>
          <w:p w:rsidR="00FA083C" w:rsidRPr="00BA5CA1" w:rsidRDefault="00FA083C" w:rsidP="00B16EB5">
            <w:pPr>
              <w:spacing w:before="60" w:after="60"/>
              <w:rPr>
                <w:rFonts w:cs="Arial"/>
              </w:rPr>
            </w:pPr>
          </w:p>
        </w:tc>
        <w:tc>
          <w:tcPr>
            <w:tcW w:w="1620" w:type="dxa"/>
          </w:tcPr>
          <w:p w:rsidR="00FA083C" w:rsidRPr="006609D8" w:rsidRDefault="00FA083C" w:rsidP="00C3690C">
            <w:pPr>
              <w:spacing w:before="60" w:after="60"/>
              <w:jc w:val="center"/>
              <w:rPr>
                <w:rFonts w:cs="Arial"/>
                <w:sz w:val="18"/>
              </w:rPr>
            </w:pPr>
            <w:r w:rsidRPr="006609D8">
              <w:rPr>
                <w:rFonts w:cs="Arial"/>
                <w:sz w:val="32"/>
                <w:szCs w:val="32"/>
              </w:rPr>
              <w:t>□</w:t>
            </w:r>
          </w:p>
        </w:tc>
      </w:tr>
      <w:tr w:rsidR="00FA083C" w:rsidRPr="006609D8" w:rsidTr="001D2BBB">
        <w:trPr>
          <w:trHeight w:val="638"/>
        </w:trPr>
        <w:tc>
          <w:tcPr>
            <w:tcW w:w="11160" w:type="dxa"/>
            <w:gridSpan w:val="3"/>
            <w:vAlign w:val="center"/>
          </w:tcPr>
          <w:p w:rsidR="00FA083C" w:rsidRPr="00FA083C" w:rsidRDefault="00FA083C" w:rsidP="00FA083C">
            <w:pPr>
              <w:pStyle w:val="Heading3"/>
              <w:rPr>
                <w:rFonts w:ascii="Arial" w:hAnsi="Arial" w:cs="Arial"/>
                <w:sz w:val="22"/>
                <w:szCs w:val="22"/>
              </w:rPr>
            </w:pPr>
            <w:r w:rsidRPr="00FA083C">
              <w:rPr>
                <w:rFonts w:ascii="Arial" w:hAnsi="Arial" w:cs="Arial"/>
                <w:sz w:val="22"/>
                <w:szCs w:val="22"/>
              </w:rPr>
              <w:t>B. FDA Related Regulatory Requirements</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1</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Identify and make available expert regulatory staff involved in IND/IDE management for assistance and advice on IND/IDE regulations and preparation for inspections. </w:t>
            </w:r>
          </w:p>
        </w:tc>
        <w:tc>
          <w:tcPr>
            <w:tcW w:w="1620" w:type="dxa"/>
          </w:tcPr>
          <w:p w:rsidR="00FA083C" w:rsidRPr="006609D8" w:rsidRDefault="00FA083C" w:rsidP="00C3690C">
            <w:pPr>
              <w:spacing w:before="60" w:after="60"/>
              <w:jc w:val="center"/>
              <w:rPr>
                <w:rFonts w:cs="Arial"/>
                <w:sz w:val="18"/>
              </w:rPr>
            </w:pPr>
            <w:r w:rsidRPr="006609D8">
              <w:rPr>
                <w:rFonts w:cs="Arial"/>
                <w:sz w:val="32"/>
                <w:szCs w:val="32"/>
              </w:rPr>
              <w:t>□</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2</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Establish a process for preparing and managing IND/IDE reports and other requirements. </w:t>
            </w:r>
          </w:p>
        </w:tc>
        <w:tc>
          <w:tcPr>
            <w:tcW w:w="1620" w:type="dxa"/>
          </w:tcPr>
          <w:p w:rsidR="00FA083C" w:rsidRPr="006609D8" w:rsidRDefault="00FA083C" w:rsidP="0013594E">
            <w:pPr>
              <w:spacing w:before="60" w:after="60"/>
              <w:jc w:val="center"/>
              <w:rPr>
                <w:rFonts w:cs="Arial"/>
                <w:sz w:val="32"/>
                <w:szCs w:val="32"/>
              </w:rPr>
            </w:pPr>
            <w:r w:rsidRPr="006609D8">
              <w:rPr>
                <w:rFonts w:cs="Arial"/>
                <w:sz w:val="32"/>
                <w:szCs w:val="32"/>
              </w:rPr>
              <w:t>□</w:t>
            </w:r>
          </w:p>
        </w:tc>
      </w:tr>
      <w:tr w:rsidR="00FA083C" w:rsidRPr="006609D8" w:rsidTr="00454064">
        <w:trPr>
          <w:trHeight w:val="638"/>
        </w:trPr>
        <w:tc>
          <w:tcPr>
            <w:tcW w:w="11160" w:type="dxa"/>
            <w:gridSpan w:val="3"/>
            <w:vAlign w:val="center"/>
          </w:tcPr>
          <w:p w:rsidR="00FA083C" w:rsidRPr="00FA083C" w:rsidRDefault="00FA083C" w:rsidP="00FA083C">
            <w:pPr>
              <w:pStyle w:val="Heading3"/>
              <w:rPr>
                <w:rFonts w:ascii="Arial" w:hAnsi="Arial" w:cs="Arial"/>
                <w:sz w:val="22"/>
                <w:szCs w:val="22"/>
              </w:rPr>
            </w:pPr>
            <w:r w:rsidRPr="00FA083C">
              <w:rPr>
                <w:rFonts w:ascii="Arial" w:hAnsi="Arial" w:cs="Arial"/>
                <w:sz w:val="22"/>
                <w:szCs w:val="22"/>
              </w:rPr>
              <w:t>C. OHRP Related Regulatory</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1</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Verify center(s) Federal-wide Assurance status when the DCC is responsible for site selection. </w:t>
            </w:r>
          </w:p>
        </w:tc>
        <w:tc>
          <w:tcPr>
            <w:tcW w:w="1620" w:type="dxa"/>
          </w:tcPr>
          <w:p w:rsidR="00FA083C" w:rsidRPr="006609D8" w:rsidRDefault="00FA083C" w:rsidP="0013594E">
            <w:pPr>
              <w:spacing w:before="60" w:after="60"/>
              <w:jc w:val="center"/>
              <w:rPr>
                <w:rFonts w:cs="Arial"/>
                <w:sz w:val="32"/>
                <w:szCs w:val="32"/>
              </w:rPr>
            </w:pPr>
            <w:r w:rsidRPr="006609D8">
              <w:rPr>
                <w:rFonts w:cs="Arial"/>
                <w:sz w:val="32"/>
                <w:szCs w:val="32"/>
              </w:rPr>
              <w:t>□</w:t>
            </w:r>
          </w:p>
        </w:tc>
      </w:tr>
      <w:tr w:rsidR="00FA083C" w:rsidRPr="006609D8" w:rsidTr="007F2782">
        <w:trPr>
          <w:trHeight w:val="638"/>
        </w:trPr>
        <w:tc>
          <w:tcPr>
            <w:tcW w:w="417" w:type="dxa"/>
            <w:vAlign w:val="center"/>
          </w:tcPr>
          <w:p w:rsidR="00FA083C" w:rsidRPr="006609D8" w:rsidRDefault="00FA083C" w:rsidP="0088426D">
            <w:pPr>
              <w:spacing w:before="60" w:after="60"/>
              <w:jc w:val="center"/>
              <w:rPr>
                <w:rFonts w:cs="Arial"/>
                <w:b/>
                <w:color w:val="003366"/>
                <w:sz w:val="18"/>
              </w:rPr>
            </w:pPr>
            <w:r>
              <w:rPr>
                <w:rFonts w:cs="Arial"/>
                <w:b/>
                <w:color w:val="003366"/>
                <w:sz w:val="18"/>
              </w:rPr>
              <w:t>2</w:t>
            </w:r>
          </w:p>
        </w:tc>
        <w:tc>
          <w:tcPr>
            <w:tcW w:w="9123" w:type="dxa"/>
            <w:vAlign w:val="center"/>
          </w:tcPr>
          <w:p w:rsidR="00FA083C" w:rsidRPr="00FA083C" w:rsidRDefault="00FA083C" w:rsidP="00FA083C">
            <w:pPr>
              <w:widowControl/>
              <w:overflowPunct/>
              <w:autoSpaceDE/>
              <w:autoSpaceDN/>
              <w:adjustRightInd/>
              <w:spacing w:before="100" w:beforeAutospacing="1" w:after="100" w:afterAutospacing="1"/>
              <w:textAlignment w:val="auto"/>
              <w:rPr>
                <w:rFonts w:ascii="Times New Roman" w:hAnsi="Times New Roman"/>
                <w:sz w:val="24"/>
                <w:szCs w:val="24"/>
              </w:rPr>
            </w:pPr>
            <w:r w:rsidRPr="00FA083C">
              <w:rPr>
                <w:rFonts w:ascii="Times New Roman" w:hAnsi="Times New Roman"/>
                <w:sz w:val="24"/>
                <w:szCs w:val="24"/>
              </w:rPr>
              <w:t xml:space="preserve">As appropriate, develop an online regulatory documents library that accepts site submissions and produces reports and email alerts about outstanding or expired documents, specifically IRB annual approvals. </w:t>
            </w:r>
          </w:p>
        </w:tc>
        <w:tc>
          <w:tcPr>
            <w:tcW w:w="1620" w:type="dxa"/>
          </w:tcPr>
          <w:p w:rsidR="00FA083C" w:rsidRPr="006609D8" w:rsidRDefault="00FA083C" w:rsidP="0013594E">
            <w:pPr>
              <w:spacing w:before="60" w:after="60"/>
              <w:jc w:val="center"/>
              <w:rPr>
                <w:rFonts w:cs="Arial"/>
                <w:sz w:val="32"/>
                <w:szCs w:val="32"/>
              </w:rPr>
            </w:pPr>
            <w:r w:rsidRPr="006609D8">
              <w:rPr>
                <w:rFonts w:cs="Arial"/>
                <w:sz w:val="32"/>
                <w:szCs w:val="32"/>
              </w:rPr>
              <w:t>□</w:t>
            </w:r>
          </w:p>
        </w:tc>
      </w:tr>
    </w:tbl>
    <w:p w:rsidR="001F0083" w:rsidRPr="00101976" w:rsidRDefault="001F0083" w:rsidP="00101976">
      <w:r w:rsidRPr="00101976">
        <w:tab/>
      </w:r>
    </w:p>
    <w:sectPr w:rsidR="001F0083" w:rsidRPr="00101976" w:rsidSect="006609D8">
      <w:footerReference w:type="default" r:id="rId8"/>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06" w:rsidRDefault="00B71E06">
      <w:pPr>
        <w:spacing w:line="20" w:lineRule="exact"/>
      </w:pPr>
    </w:p>
  </w:endnote>
  <w:endnote w:type="continuationSeparator" w:id="0">
    <w:p w:rsidR="00B71E06" w:rsidRDefault="00B71E06">
      <w:r>
        <w:t xml:space="preserve"> </w:t>
      </w:r>
    </w:p>
  </w:endnote>
  <w:endnote w:type="continuationNotice" w:id="1">
    <w:p w:rsidR="00B71E06" w:rsidRDefault="00B71E06">
      <w:r>
        <w:t xml:space="preserve"> </w:t>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C" w:rsidRDefault="00496454">
    <w:pPr>
      <w:pStyle w:val="Footer"/>
      <w:jc w:val="center"/>
    </w:pPr>
    <w:fldSimple w:instr=" PAGE   \* MERGEFORMAT ">
      <w:r w:rsidR="002E0C5F">
        <w:rPr>
          <w:noProof/>
        </w:rPr>
        <w:t>1</w:t>
      </w:r>
    </w:fldSimple>
  </w:p>
  <w:p w:rsidR="002E0C5F" w:rsidRDefault="002E0C5F" w:rsidP="002E0C5F">
    <w:pPr>
      <w:pStyle w:val="Header"/>
    </w:pPr>
    <w:r>
      <w:t>10/13/2011</w:t>
    </w:r>
  </w:p>
  <w:p w:rsidR="0013594E" w:rsidRPr="00233773" w:rsidRDefault="0013594E" w:rsidP="00D17B1B">
    <w:pPr>
      <w:pStyle w:val="Footer"/>
      <w:tabs>
        <w:tab w:val="clear" w:pos="4320"/>
        <w:tab w:val="clear" w:pos="8640"/>
        <w:tab w:val="center" w:pos="5400"/>
        <w:tab w:val="right" w:pos="108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06" w:rsidRDefault="00B71E06">
      <w:r>
        <w:separator/>
      </w:r>
    </w:p>
  </w:footnote>
  <w:footnote w:type="continuationSeparator" w:id="0">
    <w:p w:rsidR="00B71E06" w:rsidRDefault="00B71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6F40"/>
    <w:multiLevelType w:val="multilevel"/>
    <w:tmpl w:val="6D56D6C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FF353F"/>
    <w:multiLevelType w:val="multilevel"/>
    <w:tmpl w:val="D21E4CA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973A40"/>
    <w:rsid w:val="000055A0"/>
    <w:rsid w:val="00006252"/>
    <w:rsid w:val="00030C07"/>
    <w:rsid w:val="00050936"/>
    <w:rsid w:val="00052F2E"/>
    <w:rsid w:val="00066A49"/>
    <w:rsid w:val="00086699"/>
    <w:rsid w:val="00087EF0"/>
    <w:rsid w:val="000C7B8D"/>
    <w:rsid w:val="000C7CE4"/>
    <w:rsid w:val="000E2BDD"/>
    <w:rsid w:val="000E3E7F"/>
    <w:rsid w:val="000F01DA"/>
    <w:rsid w:val="00101976"/>
    <w:rsid w:val="00113FE0"/>
    <w:rsid w:val="0013594E"/>
    <w:rsid w:val="00156D7C"/>
    <w:rsid w:val="00170982"/>
    <w:rsid w:val="00171494"/>
    <w:rsid w:val="00177B06"/>
    <w:rsid w:val="001B4BFF"/>
    <w:rsid w:val="001D48D2"/>
    <w:rsid w:val="001F0083"/>
    <w:rsid w:val="002001D7"/>
    <w:rsid w:val="00214811"/>
    <w:rsid w:val="0021500A"/>
    <w:rsid w:val="00231183"/>
    <w:rsid w:val="00231CC1"/>
    <w:rsid w:val="00233773"/>
    <w:rsid w:val="00237663"/>
    <w:rsid w:val="002420C0"/>
    <w:rsid w:val="00242B4D"/>
    <w:rsid w:val="0025561E"/>
    <w:rsid w:val="00261371"/>
    <w:rsid w:val="0027228C"/>
    <w:rsid w:val="002801DB"/>
    <w:rsid w:val="00284167"/>
    <w:rsid w:val="002A7D7F"/>
    <w:rsid w:val="002D3E60"/>
    <w:rsid w:val="002E0C5F"/>
    <w:rsid w:val="002F1645"/>
    <w:rsid w:val="0032411C"/>
    <w:rsid w:val="003456C7"/>
    <w:rsid w:val="0037031E"/>
    <w:rsid w:val="0038271A"/>
    <w:rsid w:val="003855CF"/>
    <w:rsid w:val="003B0B15"/>
    <w:rsid w:val="003B1BCC"/>
    <w:rsid w:val="003B3A75"/>
    <w:rsid w:val="003C5795"/>
    <w:rsid w:val="003D7BE3"/>
    <w:rsid w:val="003E04A5"/>
    <w:rsid w:val="003E3DAE"/>
    <w:rsid w:val="003F1B32"/>
    <w:rsid w:val="003F2F29"/>
    <w:rsid w:val="00401E94"/>
    <w:rsid w:val="00405287"/>
    <w:rsid w:val="00411CCC"/>
    <w:rsid w:val="00425E65"/>
    <w:rsid w:val="00443CD0"/>
    <w:rsid w:val="004446E1"/>
    <w:rsid w:val="004931B3"/>
    <w:rsid w:val="00496454"/>
    <w:rsid w:val="004B05CD"/>
    <w:rsid w:val="004E14F3"/>
    <w:rsid w:val="004F04DC"/>
    <w:rsid w:val="00520287"/>
    <w:rsid w:val="0053784F"/>
    <w:rsid w:val="00552199"/>
    <w:rsid w:val="00562861"/>
    <w:rsid w:val="00566D24"/>
    <w:rsid w:val="00571E71"/>
    <w:rsid w:val="00572C38"/>
    <w:rsid w:val="005751FE"/>
    <w:rsid w:val="00575DB7"/>
    <w:rsid w:val="005A2106"/>
    <w:rsid w:val="005A2DC8"/>
    <w:rsid w:val="005A5AC4"/>
    <w:rsid w:val="005A6D9A"/>
    <w:rsid w:val="005E38EA"/>
    <w:rsid w:val="005E57D2"/>
    <w:rsid w:val="005E7C6C"/>
    <w:rsid w:val="00605726"/>
    <w:rsid w:val="00631BD3"/>
    <w:rsid w:val="00631E44"/>
    <w:rsid w:val="006354B3"/>
    <w:rsid w:val="006609D8"/>
    <w:rsid w:val="0066237E"/>
    <w:rsid w:val="0067005F"/>
    <w:rsid w:val="00673BE2"/>
    <w:rsid w:val="006829BD"/>
    <w:rsid w:val="00695B71"/>
    <w:rsid w:val="006C11FD"/>
    <w:rsid w:val="006C2B44"/>
    <w:rsid w:val="006C46EA"/>
    <w:rsid w:val="006C594A"/>
    <w:rsid w:val="006C5D02"/>
    <w:rsid w:val="006C7E48"/>
    <w:rsid w:val="006D1976"/>
    <w:rsid w:val="006E28D5"/>
    <w:rsid w:val="006E39AC"/>
    <w:rsid w:val="00704098"/>
    <w:rsid w:val="007109D5"/>
    <w:rsid w:val="00711DDF"/>
    <w:rsid w:val="00713A0F"/>
    <w:rsid w:val="0073127A"/>
    <w:rsid w:val="00737E0F"/>
    <w:rsid w:val="00751291"/>
    <w:rsid w:val="00752362"/>
    <w:rsid w:val="007528D8"/>
    <w:rsid w:val="007577FD"/>
    <w:rsid w:val="00760830"/>
    <w:rsid w:val="00764501"/>
    <w:rsid w:val="00764D0F"/>
    <w:rsid w:val="00766806"/>
    <w:rsid w:val="00766A7F"/>
    <w:rsid w:val="00790EC5"/>
    <w:rsid w:val="007B1B23"/>
    <w:rsid w:val="007B6342"/>
    <w:rsid w:val="007C1713"/>
    <w:rsid w:val="007C7DEB"/>
    <w:rsid w:val="007D3CA0"/>
    <w:rsid w:val="007F5C7E"/>
    <w:rsid w:val="008003FC"/>
    <w:rsid w:val="008055A3"/>
    <w:rsid w:val="00816C43"/>
    <w:rsid w:val="00821EE8"/>
    <w:rsid w:val="008227AF"/>
    <w:rsid w:val="00845392"/>
    <w:rsid w:val="008621AC"/>
    <w:rsid w:val="00870655"/>
    <w:rsid w:val="00880194"/>
    <w:rsid w:val="0088426D"/>
    <w:rsid w:val="008B197D"/>
    <w:rsid w:val="008B4AEE"/>
    <w:rsid w:val="008C2A67"/>
    <w:rsid w:val="008E04B7"/>
    <w:rsid w:val="008F1DD0"/>
    <w:rsid w:val="008F33F0"/>
    <w:rsid w:val="0090251E"/>
    <w:rsid w:val="00926506"/>
    <w:rsid w:val="00931509"/>
    <w:rsid w:val="00954B43"/>
    <w:rsid w:val="00961F99"/>
    <w:rsid w:val="009725E2"/>
    <w:rsid w:val="00973A40"/>
    <w:rsid w:val="009B71C9"/>
    <w:rsid w:val="009D294F"/>
    <w:rsid w:val="009D2C12"/>
    <w:rsid w:val="009D7532"/>
    <w:rsid w:val="009E20EB"/>
    <w:rsid w:val="009F6677"/>
    <w:rsid w:val="00A311B5"/>
    <w:rsid w:val="00A350C1"/>
    <w:rsid w:val="00A4267E"/>
    <w:rsid w:val="00A45214"/>
    <w:rsid w:val="00A73F2F"/>
    <w:rsid w:val="00A8266C"/>
    <w:rsid w:val="00AD5B65"/>
    <w:rsid w:val="00AE0581"/>
    <w:rsid w:val="00AE2AEF"/>
    <w:rsid w:val="00AE5F77"/>
    <w:rsid w:val="00B118CB"/>
    <w:rsid w:val="00B21ACA"/>
    <w:rsid w:val="00B25B9A"/>
    <w:rsid w:val="00B26E15"/>
    <w:rsid w:val="00B31044"/>
    <w:rsid w:val="00B40471"/>
    <w:rsid w:val="00B41C89"/>
    <w:rsid w:val="00B42BFB"/>
    <w:rsid w:val="00B47A5A"/>
    <w:rsid w:val="00B71A9A"/>
    <w:rsid w:val="00B71E06"/>
    <w:rsid w:val="00B75D85"/>
    <w:rsid w:val="00B8575F"/>
    <w:rsid w:val="00BA5CA1"/>
    <w:rsid w:val="00BC016E"/>
    <w:rsid w:val="00BF36F9"/>
    <w:rsid w:val="00C01B20"/>
    <w:rsid w:val="00C05684"/>
    <w:rsid w:val="00C064A9"/>
    <w:rsid w:val="00C11A7D"/>
    <w:rsid w:val="00C24827"/>
    <w:rsid w:val="00C47C4B"/>
    <w:rsid w:val="00C73373"/>
    <w:rsid w:val="00C84DF7"/>
    <w:rsid w:val="00C87924"/>
    <w:rsid w:val="00CB2D24"/>
    <w:rsid w:val="00CD59A2"/>
    <w:rsid w:val="00CD6139"/>
    <w:rsid w:val="00CD6B48"/>
    <w:rsid w:val="00CE1F33"/>
    <w:rsid w:val="00D11668"/>
    <w:rsid w:val="00D1326B"/>
    <w:rsid w:val="00D17B1B"/>
    <w:rsid w:val="00D274C5"/>
    <w:rsid w:val="00D47D02"/>
    <w:rsid w:val="00D52FBD"/>
    <w:rsid w:val="00D72C48"/>
    <w:rsid w:val="00D738E1"/>
    <w:rsid w:val="00D90DCA"/>
    <w:rsid w:val="00DB4A38"/>
    <w:rsid w:val="00DF049A"/>
    <w:rsid w:val="00E007DF"/>
    <w:rsid w:val="00E26413"/>
    <w:rsid w:val="00E3389F"/>
    <w:rsid w:val="00E37F27"/>
    <w:rsid w:val="00E44B9E"/>
    <w:rsid w:val="00E55A2C"/>
    <w:rsid w:val="00E61914"/>
    <w:rsid w:val="00E93FEC"/>
    <w:rsid w:val="00EA0BC3"/>
    <w:rsid w:val="00EC6DB2"/>
    <w:rsid w:val="00EE1A4B"/>
    <w:rsid w:val="00EF0F2A"/>
    <w:rsid w:val="00EF54BA"/>
    <w:rsid w:val="00F218E7"/>
    <w:rsid w:val="00F33B56"/>
    <w:rsid w:val="00F46664"/>
    <w:rsid w:val="00F47042"/>
    <w:rsid w:val="00F66E9C"/>
    <w:rsid w:val="00FA083C"/>
    <w:rsid w:val="00FE1CBD"/>
    <w:rsid w:val="00FE50DD"/>
    <w:rsid w:val="00FF0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664"/>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F46664"/>
    <w:pPr>
      <w:keepNext/>
      <w:spacing w:before="240" w:after="240"/>
      <w:jc w:val="center"/>
      <w:outlineLvl w:val="0"/>
    </w:pPr>
    <w:rPr>
      <w:b/>
      <w:color w:val="003366"/>
      <w:kern w:val="28"/>
      <w:sz w:val="32"/>
    </w:rPr>
  </w:style>
  <w:style w:type="paragraph" w:styleId="Heading2">
    <w:name w:val="heading 2"/>
    <w:basedOn w:val="Normal"/>
    <w:next w:val="Normal"/>
    <w:link w:val="Heading2Char"/>
    <w:unhideWhenUsed/>
    <w:qFormat/>
    <w:rsid w:val="00AD5B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D5B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F46664"/>
    <w:pPr>
      <w:suppressAutoHyphens/>
      <w:ind w:left="2880" w:hanging="720"/>
    </w:pPr>
  </w:style>
  <w:style w:type="table" w:styleId="TableGrid">
    <w:name w:val="Table Grid"/>
    <w:basedOn w:val="TableNormal"/>
    <w:rsid w:val="00F46664"/>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46664"/>
    <w:pPr>
      <w:tabs>
        <w:tab w:val="center" w:pos="4320"/>
        <w:tab w:val="right" w:pos="8640"/>
      </w:tabs>
    </w:pPr>
  </w:style>
  <w:style w:type="paragraph" w:styleId="Footer">
    <w:name w:val="footer"/>
    <w:basedOn w:val="Normal"/>
    <w:link w:val="FooterChar"/>
    <w:rsid w:val="00F46664"/>
    <w:pPr>
      <w:tabs>
        <w:tab w:val="center" w:pos="4320"/>
        <w:tab w:val="right" w:pos="8640"/>
      </w:tabs>
    </w:pPr>
  </w:style>
  <w:style w:type="paragraph" w:styleId="FootnoteText">
    <w:name w:val="footnote text"/>
    <w:basedOn w:val="Normal"/>
    <w:semiHidden/>
    <w:rsid w:val="00F46664"/>
    <w:rPr>
      <w:rFonts w:ascii="Times Roman" w:hAnsi="Times Roman"/>
    </w:rPr>
  </w:style>
  <w:style w:type="paragraph" w:customStyle="1" w:styleId="TemplateBody">
    <w:name w:val="Template Body"/>
    <w:basedOn w:val="Normal"/>
    <w:rsid w:val="00F46664"/>
    <w:pPr>
      <w:widowControl/>
      <w:tabs>
        <w:tab w:val="left" w:pos="-720"/>
      </w:tabs>
      <w:spacing w:before="100" w:after="60"/>
    </w:pPr>
    <w:rPr>
      <w:lang w:val="en-GB"/>
    </w:rPr>
  </w:style>
  <w:style w:type="paragraph" w:customStyle="1" w:styleId="TemplateHeading">
    <w:name w:val="Template Heading"/>
    <w:basedOn w:val="Heading1"/>
    <w:rsid w:val="00F46664"/>
    <w:pPr>
      <w:keepNext w:val="0"/>
      <w:widowControl/>
      <w:outlineLvl w:val="9"/>
    </w:pPr>
    <w:rPr>
      <w:kern w:val="0"/>
      <w:position w:val="-6"/>
      <w:sz w:val="24"/>
      <w:lang w:val="en-GB"/>
    </w:rPr>
  </w:style>
  <w:style w:type="paragraph" w:customStyle="1" w:styleId="TemplateSubHeading">
    <w:name w:val="Template Sub Heading"/>
    <w:basedOn w:val="Normal"/>
    <w:rsid w:val="00F46664"/>
    <w:pPr>
      <w:widowControl/>
      <w:spacing w:before="100" w:after="60"/>
    </w:pPr>
    <w:rPr>
      <w:b/>
    </w:rPr>
  </w:style>
  <w:style w:type="table" w:customStyle="1" w:styleId="ASGTable">
    <w:name w:val="ASGTable"/>
    <w:basedOn w:val="TableNormal"/>
    <w:rsid w:val="00F46664"/>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F46664"/>
    <w:pPr>
      <w:spacing w:before="120" w:after="120"/>
      <w:jc w:val="center"/>
    </w:pPr>
    <w:rPr>
      <w:sz w:val="18"/>
    </w:rPr>
  </w:style>
  <w:style w:type="paragraph" w:customStyle="1" w:styleId="ASGTableSubHead">
    <w:name w:val="ASGTableSubHead"/>
    <w:rsid w:val="00F46664"/>
    <w:pPr>
      <w:spacing w:before="240" w:after="240"/>
    </w:pPr>
    <w:rPr>
      <w:rFonts w:ascii="Helvetica" w:hAnsi="Helvetica"/>
      <w:b/>
      <w:caps/>
      <w:color w:val="003366"/>
      <w:sz w:val="18"/>
      <w:szCs w:val="18"/>
    </w:rPr>
  </w:style>
  <w:style w:type="paragraph" w:styleId="ListParagraph">
    <w:name w:val="List Paragraph"/>
    <w:basedOn w:val="Normal"/>
    <w:uiPriority w:val="34"/>
    <w:qFormat/>
    <w:rsid w:val="00F46664"/>
    <w:pPr>
      <w:ind w:left="720"/>
      <w:contextualSpacing/>
    </w:pPr>
  </w:style>
  <w:style w:type="character" w:customStyle="1" w:styleId="FooterChar">
    <w:name w:val="Footer Char"/>
    <w:basedOn w:val="DefaultParagraphFont"/>
    <w:link w:val="Footer"/>
    <w:rsid w:val="003B1BCC"/>
    <w:rPr>
      <w:rFonts w:ascii="Arial" w:hAnsi="Arial"/>
    </w:rPr>
  </w:style>
  <w:style w:type="character" w:styleId="CommentReference">
    <w:name w:val="annotation reference"/>
    <w:basedOn w:val="DefaultParagraphFont"/>
    <w:rsid w:val="00D90DCA"/>
    <w:rPr>
      <w:sz w:val="16"/>
      <w:szCs w:val="16"/>
    </w:rPr>
  </w:style>
  <w:style w:type="paragraph" w:styleId="CommentText">
    <w:name w:val="annotation text"/>
    <w:basedOn w:val="Normal"/>
    <w:link w:val="CommentTextChar"/>
    <w:rsid w:val="00D90DCA"/>
  </w:style>
  <w:style w:type="character" w:customStyle="1" w:styleId="CommentTextChar">
    <w:name w:val="Comment Text Char"/>
    <w:basedOn w:val="DefaultParagraphFont"/>
    <w:link w:val="CommentText"/>
    <w:rsid w:val="00D90DCA"/>
    <w:rPr>
      <w:rFonts w:ascii="Arial" w:hAnsi="Arial"/>
    </w:rPr>
  </w:style>
  <w:style w:type="paragraph" w:styleId="CommentSubject">
    <w:name w:val="annotation subject"/>
    <w:basedOn w:val="CommentText"/>
    <w:next w:val="CommentText"/>
    <w:link w:val="CommentSubjectChar"/>
    <w:rsid w:val="00D90DCA"/>
    <w:rPr>
      <w:b/>
      <w:bCs/>
    </w:rPr>
  </w:style>
  <w:style w:type="character" w:customStyle="1" w:styleId="CommentSubjectChar">
    <w:name w:val="Comment Subject Char"/>
    <w:basedOn w:val="CommentTextChar"/>
    <w:link w:val="CommentSubject"/>
    <w:rsid w:val="00D90DCA"/>
    <w:rPr>
      <w:b/>
      <w:bCs/>
    </w:rPr>
  </w:style>
  <w:style w:type="paragraph" w:styleId="BalloonText">
    <w:name w:val="Balloon Text"/>
    <w:basedOn w:val="Normal"/>
    <w:link w:val="BalloonTextChar"/>
    <w:rsid w:val="00D90DCA"/>
    <w:rPr>
      <w:rFonts w:ascii="Tahoma" w:hAnsi="Tahoma" w:cs="Tahoma"/>
      <w:sz w:val="16"/>
      <w:szCs w:val="16"/>
    </w:rPr>
  </w:style>
  <w:style w:type="character" w:customStyle="1" w:styleId="BalloonTextChar">
    <w:name w:val="Balloon Text Char"/>
    <w:basedOn w:val="DefaultParagraphFont"/>
    <w:link w:val="BalloonText"/>
    <w:rsid w:val="00D90DCA"/>
    <w:rPr>
      <w:rFonts w:ascii="Tahoma" w:hAnsi="Tahoma" w:cs="Tahoma"/>
      <w:sz w:val="16"/>
      <w:szCs w:val="16"/>
    </w:rPr>
  </w:style>
  <w:style w:type="character" w:customStyle="1" w:styleId="Heading2Char">
    <w:name w:val="Heading 2 Char"/>
    <w:basedOn w:val="DefaultParagraphFont"/>
    <w:link w:val="Heading2"/>
    <w:rsid w:val="00AD5B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D5B65"/>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2E0C5F"/>
    <w:rPr>
      <w:rFonts w:ascii="Arial" w:hAnsi="Arial"/>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445396293">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jew\Desktop\Exec%20Sec%20Task%20list%2010.4.11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021A-BED6-4EF6-AB80-C6857389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 Sec Task list 10.4.11v3.dotx</Template>
  <TotalTime>1</TotalTime>
  <Pages>5</Pages>
  <Words>1688</Words>
  <Characters>10007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NHLBI</dc:creator>
  <cp:keywords/>
  <dc:description/>
  <cp:lastModifiedBy>NHLBI</cp:lastModifiedBy>
  <cp:revision>2</cp:revision>
  <cp:lastPrinted>2011-10-11T12:58:00Z</cp:lastPrinted>
  <dcterms:created xsi:type="dcterms:W3CDTF">2011-10-14T13:49:00Z</dcterms:created>
  <dcterms:modified xsi:type="dcterms:W3CDTF">2011-10-14T13:49:00Z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_NewReviewCycle">
    <vt:lpwstr/>
  </property>
</Properties>
</file>